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3143" w:rsidRPr="009003E5" w:rsidRDefault="00003143" w:rsidP="00003143">
      <w:pPr>
        <w:suppressLineNumbers/>
        <w:spacing w:line="360" w:lineRule="auto"/>
        <w:ind w:firstLine="422"/>
        <w:jc w:val="both"/>
        <w:rPr>
          <w:rFonts w:eastAsia="等线"/>
          <w:b/>
          <w:bCs/>
          <w:szCs w:val="24"/>
          <w:lang w:eastAsia="zh-CN"/>
        </w:rPr>
      </w:pPr>
      <w:r w:rsidRPr="009003E5">
        <w:rPr>
          <w:b/>
          <w:bCs/>
          <w:szCs w:val="24"/>
        </w:rPr>
        <w:t>Supplementary material</w:t>
      </w:r>
      <w:r w:rsidRPr="009003E5">
        <w:rPr>
          <w:rFonts w:eastAsia="等线"/>
          <w:b/>
          <w:bCs/>
          <w:szCs w:val="24"/>
          <w:lang w:eastAsia="zh-CN"/>
        </w:rPr>
        <w:t xml:space="preserve"> figures</w:t>
      </w:r>
    </w:p>
    <w:p w:rsidR="00003143" w:rsidRPr="009003E5" w:rsidRDefault="00003143" w:rsidP="0017484D">
      <w:pPr>
        <w:pStyle w:val="Figure"/>
        <w:rPr>
          <w:b/>
          <w:bCs/>
        </w:rPr>
      </w:pPr>
      <w:r w:rsidRPr="009003E5">
        <w:rPr>
          <w:noProof/>
        </w:rPr>
        <w:drawing>
          <wp:inline distT="0" distB="0" distL="0" distR="0">
            <wp:extent cx="5267325" cy="135255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67325" cy="1352550"/>
                    </a:xfrm>
                    <a:prstGeom prst="rect">
                      <a:avLst/>
                    </a:prstGeom>
                    <a:noFill/>
                    <a:ln>
                      <a:noFill/>
                    </a:ln>
                  </pic:spPr>
                </pic:pic>
              </a:graphicData>
            </a:graphic>
          </wp:inline>
        </w:drawing>
      </w:r>
    </w:p>
    <w:p w:rsidR="00003143" w:rsidRDefault="00003143" w:rsidP="0017484D">
      <w:pPr>
        <w:pStyle w:val="Figurecaption"/>
      </w:pPr>
      <w:r w:rsidRPr="0017484D">
        <w:rPr>
          <w:b/>
        </w:rPr>
        <w:t>Supplementary Fig</w:t>
      </w:r>
      <w:r w:rsidR="0017484D" w:rsidRPr="0017484D">
        <w:rPr>
          <w:b/>
        </w:rPr>
        <w:t>.</w:t>
      </w:r>
      <w:r w:rsidRPr="0017484D">
        <w:rPr>
          <w:b/>
        </w:rPr>
        <w:t xml:space="preserve"> 1. UMAP dimensionality reduction and clustering results of single cells in kidney tissues.</w:t>
      </w:r>
      <w:r w:rsidRPr="009003E5">
        <w:t xml:space="preserve"> (A</w:t>
      </w:r>
      <w:r w:rsidR="0017484D">
        <w:t>–</w:t>
      </w:r>
      <w:r w:rsidRPr="009003E5">
        <w:t>C) The grouping (A), sample (B) and cell cluster (C) coloring after single-cell UMAP dimensionality reduction respectively.</w:t>
      </w:r>
    </w:p>
    <w:p w:rsidR="0017484D" w:rsidRDefault="0017484D" w:rsidP="0017484D">
      <w:pPr>
        <w:pStyle w:val="Figurecaption"/>
      </w:pPr>
    </w:p>
    <w:p w:rsidR="0017484D" w:rsidRPr="009003E5" w:rsidRDefault="0017484D" w:rsidP="0017484D">
      <w:pPr>
        <w:pStyle w:val="Figurecaption"/>
      </w:pPr>
    </w:p>
    <w:p w:rsidR="00003143" w:rsidRPr="009003E5" w:rsidRDefault="00003143" w:rsidP="0017484D">
      <w:pPr>
        <w:pStyle w:val="Figure"/>
      </w:pPr>
      <w:r w:rsidRPr="009003E5">
        <w:rPr>
          <w:noProof/>
        </w:rPr>
        <w:drawing>
          <wp:inline distT="0" distB="0" distL="0" distR="0">
            <wp:extent cx="5267325" cy="3514725"/>
            <wp:effectExtent l="0" t="0" r="9525"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67325" cy="3514725"/>
                    </a:xfrm>
                    <a:prstGeom prst="rect">
                      <a:avLst/>
                    </a:prstGeom>
                    <a:noFill/>
                    <a:ln>
                      <a:noFill/>
                    </a:ln>
                    <a:effectLst/>
                  </pic:spPr>
                </pic:pic>
              </a:graphicData>
            </a:graphic>
          </wp:inline>
        </w:drawing>
      </w:r>
    </w:p>
    <w:p w:rsidR="00003143" w:rsidRPr="009003E5" w:rsidRDefault="0017484D" w:rsidP="0017484D">
      <w:pPr>
        <w:pStyle w:val="Figurecaption"/>
      </w:pPr>
      <w:r>
        <w:rPr>
          <w:b/>
          <w:bCs/>
        </w:rPr>
        <w:t>Supplementary Fig.</w:t>
      </w:r>
      <w:r w:rsidR="00003143" w:rsidRPr="009003E5">
        <w:rPr>
          <w:b/>
          <w:bCs/>
        </w:rPr>
        <w:t xml:space="preserve"> 2. Cell types in renal tissues.</w:t>
      </w:r>
      <w:r w:rsidR="00003143" w:rsidRPr="0017484D">
        <w:rPr>
          <w:bCs/>
        </w:rPr>
        <w:t xml:space="preserve"> (A</w:t>
      </w:r>
      <w:r w:rsidR="00003143" w:rsidRPr="0017484D">
        <w:t xml:space="preserve">) The UMAP dimensionality reduction and annotation of single cells in the kidney. </w:t>
      </w:r>
      <w:r w:rsidR="00003143" w:rsidRPr="0017484D">
        <w:rPr>
          <w:bCs/>
        </w:rPr>
        <w:t>(B)</w:t>
      </w:r>
      <w:r w:rsidR="00003143" w:rsidRPr="0017484D">
        <w:t xml:space="preserve"> The proportional changes of differ</w:t>
      </w:r>
      <w:r w:rsidR="00003143" w:rsidRPr="009003E5">
        <w:t xml:space="preserve">ent cell types in the kidney. </w:t>
      </w:r>
      <w:r w:rsidR="00003143" w:rsidRPr="0017484D">
        <w:rPr>
          <w:bCs/>
        </w:rPr>
        <w:t>(C)</w:t>
      </w:r>
      <w:r w:rsidR="00003143" w:rsidRPr="009003E5">
        <w:t xml:space="preserve"> Results of differential testing for relative proportions of various cell types.</w:t>
      </w:r>
    </w:p>
    <w:p w:rsidR="00003143" w:rsidRPr="009003E5" w:rsidRDefault="00003143" w:rsidP="0017484D">
      <w:pPr>
        <w:pStyle w:val="Figure"/>
      </w:pPr>
      <w:r w:rsidRPr="009003E5">
        <w:rPr>
          <w:noProof/>
        </w:rPr>
        <w:lastRenderedPageBreak/>
        <w:drawing>
          <wp:inline distT="0" distB="0" distL="0" distR="0">
            <wp:extent cx="5267325" cy="523875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67325" cy="5238750"/>
                    </a:xfrm>
                    <a:prstGeom prst="rect">
                      <a:avLst/>
                    </a:prstGeom>
                    <a:noFill/>
                    <a:ln>
                      <a:noFill/>
                    </a:ln>
                  </pic:spPr>
                </pic:pic>
              </a:graphicData>
            </a:graphic>
          </wp:inline>
        </w:drawing>
      </w:r>
    </w:p>
    <w:p w:rsidR="00003143" w:rsidRDefault="0017484D" w:rsidP="0017484D">
      <w:pPr>
        <w:pStyle w:val="Figurecaption"/>
      </w:pPr>
      <w:r>
        <w:rPr>
          <w:b/>
          <w:bCs/>
        </w:rPr>
        <w:t>Supplementary</w:t>
      </w:r>
      <w:r w:rsidR="00003143" w:rsidRPr="009003E5">
        <w:rPr>
          <w:b/>
          <w:bCs/>
        </w:rPr>
        <w:t xml:space="preserve"> Fig</w:t>
      </w:r>
      <w:r>
        <w:rPr>
          <w:b/>
          <w:bCs/>
        </w:rPr>
        <w:t>.</w:t>
      </w:r>
      <w:r w:rsidR="00003143" w:rsidRPr="009003E5">
        <w:rPr>
          <w:b/>
          <w:bCs/>
        </w:rPr>
        <w:t xml:space="preserve"> 3. Overlap of neurons and renal tubular cells in SingleR annotation.</w:t>
      </w:r>
      <w:r w:rsidR="00003143" w:rsidRPr="0017484D">
        <w:t xml:space="preserve"> (</w:t>
      </w:r>
      <w:r w:rsidR="00003143" w:rsidRPr="0017484D">
        <w:rPr>
          <w:bCs/>
        </w:rPr>
        <w:t xml:space="preserve">A) </w:t>
      </w:r>
      <w:r w:rsidR="00003143" w:rsidRPr="0017484D">
        <w:t xml:space="preserve">The automatic annotation results of individual cells using the SingleR method, categorizing cells into endothelial cells, epithelial cells, fibroblasts, mesangial cells, etc. </w:t>
      </w:r>
      <w:r w:rsidR="00003143" w:rsidRPr="0017484D">
        <w:rPr>
          <w:bCs/>
        </w:rPr>
        <w:t>(B)</w:t>
      </w:r>
      <w:r w:rsidR="00003143" w:rsidRPr="0017484D">
        <w:t xml:space="preserve"> Discrepancies between SingleR annotations and marker-based annota</w:t>
      </w:r>
      <w:r w:rsidR="00003143" w:rsidRPr="009003E5">
        <w:t>tions.pes, all indicating no statistically significant differences.</w:t>
      </w:r>
    </w:p>
    <w:p w:rsidR="0017484D" w:rsidRDefault="0017484D" w:rsidP="0017484D">
      <w:pPr>
        <w:pStyle w:val="Figurecaption"/>
      </w:pPr>
    </w:p>
    <w:p w:rsidR="0017484D" w:rsidRPr="009003E5" w:rsidRDefault="0017484D" w:rsidP="0017484D">
      <w:pPr>
        <w:pStyle w:val="Figurecaption"/>
      </w:pPr>
    </w:p>
    <w:p w:rsidR="00003143" w:rsidRPr="009003E5" w:rsidRDefault="00003143" w:rsidP="0017484D">
      <w:pPr>
        <w:pStyle w:val="Figure"/>
      </w:pPr>
      <w:r w:rsidRPr="0017484D">
        <w:lastRenderedPageBreak/>
        <w:drawing>
          <wp:inline distT="0" distB="0" distL="0" distR="0">
            <wp:extent cx="5267325" cy="290512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7325" cy="2905125"/>
                    </a:xfrm>
                    <a:prstGeom prst="rect">
                      <a:avLst/>
                    </a:prstGeom>
                    <a:noFill/>
                    <a:ln>
                      <a:noFill/>
                    </a:ln>
                  </pic:spPr>
                </pic:pic>
              </a:graphicData>
            </a:graphic>
          </wp:inline>
        </w:drawing>
      </w:r>
    </w:p>
    <w:p w:rsidR="00003143" w:rsidRDefault="0017484D" w:rsidP="0017484D">
      <w:pPr>
        <w:pStyle w:val="Figurecaption"/>
      </w:pPr>
      <w:r w:rsidRPr="0017484D">
        <w:rPr>
          <w:b/>
        </w:rPr>
        <w:t>Supplementary</w:t>
      </w:r>
      <w:r w:rsidR="00003143" w:rsidRPr="0017484D">
        <w:rPr>
          <w:b/>
        </w:rPr>
        <w:t xml:space="preserve"> Fig</w:t>
      </w:r>
      <w:r w:rsidRPr="0017484D">
        <w:rPr>
          <w:b/>
        </w:rPr>
        <w:t>.</w:t>
      </w:r>
      <w:r w:rsidR="00003143" w:rsidRPr="0017484D">
        <w:rPr>
          <w:b/>
        </w:rPr>
        <w:t xml:space="preserve"> 4. Harmony dimensionality reduction distribution of neuronal markers expression.</w:t>
      </w:r>
      <w:r w:rsidR="00003143" w:rsidRPr="009003E5">
        <w:t xml:space="preserve"> (A</w:t>
      </w:r>
      <w:r>
        <w:t>–</w:t>
      </w:r>
      <w:r w:rsidR="00003143" w:rsidRPr="009003E5">
        <w:t xml:space="preserve">I) The expression distribution of 9 neuronal markers including </w:t>
      </w:r>
      <w:r w:rsidR="00003143" w:rsidRPr="009003E5">
        <w:rPr>
          <w:i/>
          <w:iCs/>
        </w:rPr>
        <w:t xml:space="preserve">DCX </w:t>
      </w:r>
      <w:r w:rsidR="00003143" w:rsidRPr="009003E5">
        <w:t xml:space="preserve">(A), </w:t>
      </w:r>
      <w:r w:rsidR="00003143" w:rsidRPr="009003E5">
        <w:rPr>
          <w:i/>
          <w:iCs/>
        </w:rPr>
        <w:t xml:space="preserve">PAX6 </w:t>
      </w:r>
      <w:r w:rsidR="00003143" w:rsidRPr="009003E5">
        <w:t>(B),</w:t>
      </w:r>
      <w:r w:rsidR="00003143" w:rsidRPr="009003E5">
        <w:rPr>
          <w:i/>
          <w:iCs/>
        </w:rPr>
        <w:t xml:space="preserve"> STMN2 </w:t>
      </w:r>
      <w:r w:rsidR="00003143" w:rsidRPr="009003E5">
        <w:t>(C),</w:t>
      </w:r>
      <w:r w:rsidR="00003143" w:rsidRPr="009003E5">
        <w:rPr>
          <w:i/>
          <w:iCs/>
        </w:rPr>
        <w:t xml:space="preserve"> SOX2 </w:t>
      </w:r>
      <w:r w:rsidR="00003143" w:rsidRPr="009003E5">
        <w:t>(D),</w:t>
      </w:r>
      <w:r w:rsidR="00003143" w:rsidRPr="009003E5">
        <w:rPr>
          <w:i/>
          <w:iCs/>
        </w:rPr>
        <w:t xml:space="preserve"> SOX11 </w:t>
      </w:r>
      <w:r w:rsidR="00003143" w:rsidRPr="009003E5">
        <w:t>(E),</w:t>
      </w:r>
      <w:r w:rsidR="00003143" w:rsidRPr="009003E5">
        <w:rPr>
          <w:i/>
          <w:iCs/>
        </w:rPr>
        <w:t xml:space="preserve"> ELAVL3 </w:t>
      </w:r>
      <w:r w:rsidR="00003143" w:rsidRPr="009003E5">
        <w:t>(F),</w:t>
      </w:r>
      <w:r w:rsidR="00003143" w:rsidRPr="009003E5">
        <w:rPr>
          <w:i/>
          <w:iCs/>
        </w:rPr>
        <w:t xml:space="preserve"> ELAVL4 </w:t>
      </w:r>
      <w:r w:rsidR="00003143" w:rsidRPr="009003E5">
        <w:t>(G),</w:t>
      </w:r>
      <w:r w:rsidR="00003143" w:rsidRPr="009003E5">
        <w:rPr>
          <w:i/>
          <w:iCs/>
        </w:rPr>
        <w:t xml:space="preserve"> SYT1 </w:t>
      </w:r>
      <w:r w:rsidR="00003143" w:rsidRPr="009003E5">
        <w:t xml:space="preserve">(H), and </w:t>
      </w:r>
      <w:r w:rsidR="00003143" w:rsidRPr="009003E5">
        <w:rPr>
          <w:i/>
          <w:iCs/>
        </w:rPr>
        <w:t xml:space="preserve">NES </w:t>
      </w:r>
      <w:r w:rsidR="00003143" w:rsidRPr="009003E5">
        <w:t>(I) in all cells after Harmony dimensionality reduction. (J) The harmonic dimensionality reduction distribution of individual cells in the neuron datasets and kidney tissue datasets. (K</w:t>
      </w:r>
      <w:r>
        <w:t>–</w:t>
      </w:r>
      <w:r w:rsidR="00003143" w:rsidRPr="009003E5">
        <w:t>S) The harmonic dimensionality reduction distribution of 9 neuronal marker positive expression cells in the kidney datasets. (T) The harmonic dimensionality reduction distribution of the kidney dataset. Pink is the coloring of individual cell lines in the neuron dataset, and cyan is the staining of individual cells in the kidney.</w:t>
      </w:r>
    </w:p>
    <w:p w:rsidR="0017484D" w:rsidRDefault="0017484D" w:rsidP="0017484D">
      <w:pPr>
        <w:pStyle w:val="Figurecaption"/>
      </w:pPr>
    </w:p>
    <w:p w:rsidR="0017484D" w:rsidRPr="009003E5" w:rsidRDefault="0017484D" w:rsidP="0017484D">
      <w:pPr>
        <w:pStyle w:val="Figurecaption"/>
      </w:pPr>
    </w:p>
    <w:p w:rsidR="00003143" w:rsidRPr="009003E5" w:rsidRDefault="00003143" w:rsidP="0017484D">
      <w:pPr>
        <w:pStyle w:val="Figure"/>
      </w:pPr>
      <w:r w:rsidRPr="009003E5">
        <w:rPr>
          <w:noProof/>
        </w:rPr>
        <w:drawing>
          <wp:inline distT="0" distB="0" distL="0" distR="0">
            <wp:extent cx="5267325" cy="33242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3324225"/>
                    </a:xfrm>
                    <a:prstGeom prst="rect">
                      <a:avLst/>
                    </a:prstGeom>
                    <a:noFill/>
                    <a:ln>
                      <a:noFill/>
                    </a:ln>
                  </pic:spPr>
                </pic:pic>
              </a:graphicData>
            </a:graphic>
          </wp:inline>
        </w:drawing>
      </w:r>
    </w:p>
    <w:p w:rsidR="00003143" w:rsidRPr="009003E5" w:rsidRDefault="00003143" w:rsidP="0017484D">
      <w:pPr>
        <w:pStyle w:val="Figurecaption"/>
      </w:pPr>
      <w:r w:rsidRPr="009003E5">
        <w:rPr>
          <w:b/>
          <w:bCs/>
        </w:rPr>
        <w:t>Supplementary Fig</w:t>
      </w:r>
      <w:r w:rsidR="0017484D">
        <w:rPr>
          <w:b/>
          <w:bCs/>
        </w:rPr>
        <w:t>.</w:t>
      </w:r>
      <w:r w:rsidRPr="009003E5">
        <w:rPr>
          <w:b/>
          <w:bCs/>
        </w:rPr>
        <w:t xml:space="preserve"> 5. Expression of neuronal markers in each cell cluster</w:t>
      </w:r>
      <w:r w:rsidRPr="0017484D">
        <w:rPr>
          <w:bCs/>
        </w:rPr>
        <w:t>. (A</w:t>
      </w:r>
      <w:r w:rsidR="0017484D" w:rsidRPr="0017484D">
        <w:rPr>
          <w:bCs/>
        </w:rPr>
        <w:t>–</w:t>
      </w:r>
      <w:r w:rsidRPr="0017484D">
        <w:rPr>
          <w:bCs/>
        </w:rPr>
        <w:t>I)</w:t>
      </w:r>
      <w:r w:rsidRPr="0017484D">
        <w:t xml:space="preserve"> Expression distributions of </w:t>
      </w:r>
      <w:r w:rsidRPr="0017484D">
        <w:rPr>
          <w:i/>
          <w:iCs/>
        </w:rPr>
        <w:t xml:space="preserve">DCX </w:t>
      </w:r>
      <w:r w:rsidRPr="0017484D">
        <w:rPr>
          <w:bCs/>
        </w:rPr>
        <w:t>(A)</w:t>
      </w:r>
      <w:r w:rsidRPr="0017484D">
        <w:t xml:space="preserve">, </w:t>
      </w:r>
      <w:r w:rsidRPr="0017484D">
        <w:rPr>
          <w:i/>
          <w:iCs/>
        </w:rPr>
        <w:t xml:space="preserve">PAX6 </w:t>
      </w:r>
      <w:r w:rsidRPr="0017484D">
        <w:rPr>
          <w:bCs/>
        </w:rPr>
        <w:t>(B)</w:t>
      </w:r>
      <w:r w:rsidRPr="0017484D">
        <w:t>,</w:t>
      </w:r>
      <w:r w:rsidRPr="0017484D">
        <w:rPr>
          <w:i/>
          <w:iCs/>
        </w:rPr>
        <w:t xml:space="preserve"> STMN2 </w:t>
      </w:r>
      <w:r w:rsidRPr="0017484D">
        <w:rPr>
          <w:bCs/>
        </w:rPr>
        <w:t>(C)</w:t>
      </w:r>
      <w:r w:rsidRPr="0017484D">
        <w:t>,</w:t>
      </w:r>
      <w:r w:rsidRPr="0017484D">
        <w:rPr>
          <w:i/>
          <w:iCs/>
        </w:rPr>
        <w:t xml:space="preserve"> SOX2 </w:t>
      </w:r>
      <w:r w:rsidRPr="0017484D">
        <w:rPr>
          <w:bCs/>
        </w:rPr>
        <w:t>(D)</w:t>
      </w:r>
      <w:r w:rsidRPr="0017484D">
        <w:t>,</w:t>
      </w:r>
      <w:r w:rsidRPr="0017484D">
        <w:rPr>
          <w:i/>
          <w:iCs/>
        </w:rPr>
        <w:t xml:space="preserve"> SOX11 </w:t>
      </w:r>
      <w:r w:rsidRPr="0017484D">
        <w:rPr>
          <w:bCs/>
        </w:rPr>
        <w:t>(E)</w:t>
      </w:r>
      <w:r w:rsidRPr="0017484D">
        <w:t>,</w:t>
      </w:r>
      <w:r w:rsidRPr="0017484D">
        <w:rPr>
          <w:i/>
          <w:iCs/>
        </w:rPr>
        <w:t xml:space="preserve"> ELAVL3 </w:t>
      </w:r>
      <w:r w:rsidRPr="0017484D">
        <w:rPr>
          <w:bCs/>
        </w:rPr>
        <w:t>(F)</w:t>
      </w:r>
      <w:r w:rsidRPr="0017484D">
        <w:t>,</w:t>
      </w:r>
      <w:r w:rsidRPr="0017484D">
        <w:rPr>
          <w:i/>
          <w:iCs/>
        </w:rPr>
        <w:t xml:space="preserve"> ELAVL4 </w:t>
      </w:r>
      <w:r w:rsidRPr="0017484D">
        <w:rPr>
          <w:bCs/>
        </w:rPr>
        <w:t>(G)</w:t>
      </w:r>
      <w:r w:rsidRPr="0017484D">
        <w:t>,</w:t>
      </w:r>
      <w:r w:rsidRPr="0017484D">
        <w:rPr>
          <w:i/>
          <w:iCs/>
        </w:rPr>
        <w:t xml:space="preserve"> SYT1 </w:t>
      </w:r>
      <w:r w:rsidRPr="0017484D">
        <w:rPr>
          <w:bCs/>
        </w:rPr>
        <w:t>(H)</w:t>
      </w:r>
      <w:r w:rsidRPr="0017484D">
        <w:t xml:space="preserve"> and </w:t>
      </w:r>
      <w:r w:rsidRPr="0017484D">
        <w:rPr>
          <w:i/>
          <w:iCs/>
        </w:rPr>
        <w:t xml:space="preserve">NES </w:t>
      </w:r>
      <w:r w:rsidRPr="0017484D">
        <w:rPr>
          <w:bCs/>
        </w:rPr>
        <w:t>(I)</w:t>
      </w:r>
      <w:r w:rsidRPr="0017484D">
        <w:t xml:space="preserve"> are di</w:t>
      </w:r>
      <w:r w:rsidRPr="009003E5">
        <w:t>fferent in the renal cell types.</w:t>
      </w:r>
    </w:p>
    <w:p w:rsidR="00003143" w:rsidRPr="009003E5" w:rsidRDefault="00003143" w:rsidP="0017484D">
      <w:pPr>
        <w:pStyle w:val="Figure"/>
      </w:pPr>
      <w:r w:rsidRPr="009003E5">
        <w:rPr>
          <w:noProof/>
        </w:rPr>
        <w:lastRenderedPageBreak/>
        <w:drawing>
          <wp:inline distT="0" distB="0" distL="0" distR="0">
            <wp:extent cx="5267325" cy="5972175"/>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7325" cy="5972175"/>
                    </a:xfrm>
                    <a:prstGeom prst="rect">
                      <a:avLst/>
                    </a:prstGeom>
                    <a:noFill/>
                    <a:ln>
                      <a:noFill/>
                    </a:ln>
                    <a:effectLst/>
                  </pic:spPr>
                </pic:pic>
              </a:graphicData>
            </a:graphic>
          </wp:inline>
        </w:drawing>
      </w:r>
    </w:p>
    <w:p w:rsidR="00003143" w:rsidRPr="009003E5" w:rsidRDefault="00003143" w:rsidP="0017484D">
      <w:pPr>
        <w:pStyle w:val="Figurecaption"/>
      </w:pPr>
      <w:r w:rsidRPr="009003E5">
        <w:rPr>
          <w:b/>
          <w:bCs/>
        </w:rPr>
        <w:t>Supplementary Fig</w:t>
      </w:r>
      <w:r w:rsidR="0017484D">
        <w:rPr>
          <w:b/>
          <w:bCs/>
        </w:rPr>
        <w:t>.</w:t>
      </w:r>
      <w:r w:rsidRPr="009003E5">
        <w:rPr>
          <w:b/>
          <w:bCs/>
        </w:rPr>
        <w:t xml:space="preserve"> 6. Accuracy of positive cell identification using semi-supervised annotation. </w:t>
      </w:r>
      <w:r w:rsidRPr="0017484D">
        <w:rPr>
          <w:bCs/>
        </w:rPr>
        <w:t>(A</w:t>
      </w:r>
      <w:r w:rsidR="0017484D">
        <w:rPr>
          <w:bCs/>
        </w:rPr>
        <w:t>,</w:t>
      </w:r>
      <w:r w:rsidRPr="0017484D">
        <w:rPr>
          <w:bCs/>
        </w:rPr>
        <w:t>B)</w:t>
      </w:r>
      <w:r w:rsidRPr="0017484D">
        <w:t xml:space="preserve"> The UMAP distribution of individual cells</w:t>
      </w:r>
      <w:r w:rsidRPr="0017484D">
        <w:rPr>
          <w:bCs/>
        </w:rPr>
        <w:t xml:space="preserve"> (A)</w:t>
      </w:r>
      <w:r w:rsidRPr="0017484D">
        <w:t xml:space="preserve"> and the score differences</w:t>
      </w:r>
      <w:r w:rsidRPr="0017484D">
        <w:rPr>
          <w:bCs/>
        </w:rPr>
        <w:t xml:space="preserve"> (B)</w:t>
      </w:r>
      <w:r w:rsidRPr="0017484D">
        <w:t xml:space="preserve"> after clustering based on neuronal markers expression characteristics. </w:t>
      </w:r>
      <w:r w:rsidRPr="0017484D">
        <w:rPr>
          <w:bCs/>
        </w:rPr>
        <w:t>(C</w:t>
      </w:r>
      <w:r w:rsidR="0017484D">
        <w:rPr>
          <w:bCs/>
        </w:rPr>
        <w:t>,</w:t>
      </w:r>
      <w:r w:rsidRPr="0017484D">
        <w:rPr>
          <w:bCs/>
        </w:rPr>
        <w:t>D)</w:t>
      </w:r>
      <w:r w:rsidRPr="0017484D">
        <w:t xml:space="preserve"> The UMAP distribution </w:t>
      </w:r>
      <w:r w:rsidRPr="0017484D">
        <w:rPr>
          <w:bCs/>
        </w:rPr>
        <w:t xml:space="preserve">(C) </w:t>
      </w:r>
      <w:r w:rsidRPr="0017484D">
        <w:t>and score differences</w:t>
      </w:r>
      <w:r w:rsidRPr="0017484D">
        <w:rPr>
          <w:bCs/>
        </w:rPr>
        <w:t xml:space="preserve"> (D)</w:t>
      </w:r>
      <w:r w:rsidRPr="0017484D">
        <w:t xml:space="preserve"> of neuronal scoring using the AUCell method.</w:t>
      </w:r>
      <w:r w:rsidRPr="0017484D">
        <w:rPr>
          <w:bCs/>
        </w:rPr>
        <w:t xml:space="preserve"> (E</w:t>
      </w:r>
      <w:r w:rsidR="0017484D">
        <w:rPr>
          <w:bCs/>
        </w:rPr>
        <w:t>,</w:t>
      </w:r>
      <w:r w:rsidRPr="0017484D">
        <w:rPr>
          <w:bCs/>
        </w:rPr>
        <w:t>F)</w:t>
      </w:r>
      <w:r w:rsidRPr="0017484D">
        <w:t xml:space="preserve"> represent the UMAP distribution</w:t>
      </w:r>
      <w:r w:rsidRPr="0017484D">
        <w:rPr>
          <w:bCs/>
        </w:rPr>
        <w:t xml:space="preserve"> (E) </w:t>
      </w:r>
      <w:r w:rsidRPr="0017484D">
        <w:t>and differences</w:t>
      </w:r>
      <w:r w:rsidRPr="0017484D">
        <w:rPr>
          <w:bCs/>
        </w:rPr>
        <w:t xml:space="preserve"> (F)</w:t>
      </w:r>
      <w:r w:rsidRPr="0017484D">
        <w:t xml:space="preserve"> of neuronal scoring using the SCINA method. </w:t>
      </w:r>
      <w:r w:rsidRPr="0017484D">
        <w:rPr>
          <w:bCs/>
        </w:rPr>
        <w:t>(G)</w:t>
      </w:r>
      <w:r w:rsidRPr="0017484D">
        <w:t xml:space="preserve"> The UMAP dimensionality reduction distribution of individual cells following the merger of neuro</w:t>
      </w:r>
      <w:r w:rsidRPr="009003E5">
        <w:t xml:space="preserve">nal and renal datasets, with the neuronal datasets indicated in pink. *** denotes a significant difference between the kidney and neuron groups as determined by the </w:t>
      </w:r>
      <w:r w:rsidRPr="009003E5">
        <w:rPr>
          <w:i/>
          <w:iCs/>
        </w:rPr>
        <w:t>t</w:t>
      </w:r>
      <w:r w:rsidRPr="009003E5">
        <w:t xml:space="preserve">-test, with </w:t>
      </w:r>
      <w:r w:rsidRPr="009003E5">
        <w:rPr>
          <w:i/>
          <w:iCs/>
        </w:rPr>
        <w:t>p</w:t>
      </w:r>
      <w:r w:rsidRPr="009003E5">
        <w:t xml:space="preserve"> &lt; 0.001.</w:t>
      </w:r>
    </w:p>
    <w:p w:rsidR="00003143" w:rsidRPr="009003E5" w:rsidRDefault="00003143" w:rsidP="0017484D">
      <w:pPr>
        <w:pStyle w:val="Figure"/>
      </w:pPr>
      <w:r w:rsidRPr="009003E5">
        <w:rPr>
          <w:noProof/>
        </w:rPr>
        <w:lastRenderedPageBreak/>
        <w:drawing>
          <wp:inline distT="0" distB="0" distL="0" distR="0">
            <wp:extent cx="5267325" cy="423862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7325" cy="4238625"/>
                    </a:xfrm>
                    <a:prstGeom prst="rect">
                      <a:avLst/>
                    </a:prstGeom>
                    <a:noFill/>
                    <a:ln>
                      <a:noFill/>
                    </a:ln>
                    <a:effectLst/>
                  </pic:spPr>
                </pic:pic>
              </a:graphicData>
            </a:graphic>
          </wp:inline>
        </w:drawing>
      </w:r>
    </w:p>
    <w:p w:rsidR="00003143" w:rsidRPr="0017484D" w:rsidRDefault="00003143" w:rsidP="0017484D">
      <w:pPr>
        <w:pStyle w:val="Figurecaption"/>
      </w:pPr>
      <w:r w:rsidRPr="009003E5">
        <w:rPr>
          <w:b/>
          <w:bCs/>
        </w:rPr>
        <w:t>Supplementary Fig</w:t>
      </w:r>
      <w:r w:rsidR="0017484D">
        <w:rPr>
          <w:b/>
          <w:bCs/>
        </w:rPr>
        <w:t>.</w:t>
      </w:r>
      <w:r w:rsidRPr="009003E5">
        <w:rPr>
          <w:b/>
          <w:bCs/>
        </w:rPr>
        <w:t xml:space="preserve"> 7. Overlap analysis of neuronal scoring results with actual neuronal and renal cells.</w:t>
      </w:r>
      <w:r w:rsidRPr="0017484D">
        <w:rPr>
          <w:bCs/>
        </w:rPr>
        <w:t xml:space="preserve"> (A</w:t>
      </w:r>
      <w:r w:rsidR="0017484D">
        <w:rPr>
          <w:bCs/>
        </w:rPr>
        <w:t>–</w:t>
      </w:r>
      <w:r w:rsidRPr="0017484D">
        <w:rPr>
          <w:bCs/>
        </w:rPr>
        <w:t>C)</w:t>
      </w:r>
      <w:r w:rsidRPr="0017484D">
        <w:t xml:space="preserve"> The proportions of neuronal and renal tissue scRNA-seq datasets in neurons predicted by semi-supervised clustering</w:t>
      </w:r>
      <w:r w:rsidRPr="0017484D">
        <w:rPr>
          <w:bCs/>
        </w:rPr>
        <w:t xml:space="preserve"> (A)</w:t>
      </w:r>
      <w:r w:rsidRPr="0017484D">
        <w:t>, AUCell</w:t>
      </w:r>
      <w:r w:rsidRPr="0017484D">
        <w:rPr>
          <w:bCs/>
        </w:rPr>
        <w:t xml:space="preserve"> (B)</w:t>
      </w:r>
      <w:r w:rsidRPr="0017484D">
        <w:t>, and SCINA</w:t>
      </w:r>
      <w:r w:rsidRPr="0017484D">
        <w:rPr>
          <w:bCs/>
        </w:rPr>
        <w:t xml:space="preserve"> (C) </w:t>
      </w:r>
      <w:r w:rsidRPr="0017484D">
        <w:t xml:space="preserve">methods, respectively. </w:t>
      </w:r>
      <w:r w:rsidRPr="0017484D">
        <w:rPr>
          <w:bCs/>
        </w:rPr>
        <w:t>(D</w:t>
      </w:r>
      <w:r w:rsidR="0017484D">
        <w:rPr>
          <w:bCs/>
        </w:rPr>
        <w:t>–</w:t>
      </w:r>
      <w:r w:rsidRPr="0017484D">
        <w:rPr>
          <w:bCs/>
        </w:rPr>
        <w:t xml:space="preserve">F) </w:t>
      </w:r>
      <w:r w:rsidRPr="0017484D">
        <w:t xml:space="preserve">The proportion of predicted neurons within renal cells for each of the three methods. </w:t>
      </w:r>
      <w:r w:rsidRPr="0017484D">
        <w:rPr>
          <w:bCs/>
        </w:rPr>
        <w:t>(G</w:t>
      </w:r>
      <w:r w:rsidR="0017484D">
        <w:rPr>
          <w:bCs/>
        </w:rPr>
        <w:t>–</w:t>
      </w:r>
      <w:r w:rsidRPr="0017484D">
        <w:rPr>
          <w:bCs/>
        </w:rPr>
        <w:t>I)</w:t>
      </w:r>
      <w:r w:rsidRPr="0017484D">
        <w:t xml:space="preserve"> The proportion of predicted neurons within the neuronal datasets for each method.</w:t>
      </w:r>
    </w:p>
    <w:p w:rsidR="0017484D" w:rsidRPr="0017484D" w:rsidRDefault="0017484D" w:rsidP="0017484D">
      <w:pPr>
        <w:pStyle w:val="Figurecaption"/>
      </w:pPr>
    </w:p>
    <w:p w:rsidR="0017484D" w:rsidRPr="009003E5" w:rsidRDefault="0017484D" w:rsidP="0017484D">
      <w:pPr>
        <w:pStyle w:val="Figurecaption"/>
      </w:pPr>
    </w:p>
    <w:p w:rsidR="00003143" w:rsidRPr="009003E5" w:rsidRDefault="00003143" w:rsidP="0017484D">
      <w:pPr>
        <w:pStyle w:val="Figure"/>
      </w:pPr>
      <w:r w:rsidRPr="009003E5">
        <w:rPr>
          <w:noProof/>
        </w:rPr>
        <w:drawing>
          <wp:inline distT="0" distB="0" distL="0" distR="0">
            <wp:extent cx="4314825" cy="245745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4825" cy="2457450"/>
                    </a:xfrm>
                    <a:prstGeom prst="rect">
                      <a:avLst/>
                    </a:prstGeom>
                    <a:noFill/>
                    <a:ln>
                      <a:noFill/>
                    </a:ln>
                  </pic:spPr>
                </pic:pic>
              </a:graphicData>
            </a:graphic>
          </wp:inline>
        </w:drawing>
      </w:r>
    </w:p>
    <w:p w:rsidR="00003143" w:rsidRPr="009003E5" w:rsidRDefault="00003143" w:rsidP="0017484D">
      <w:pPr>
        <w:pStyle w:val="Figurecaption"/>
      </w:pPr>
      <w:r w:rsidRPr="009003E5">
        <w:rPr>
          <w:b/>
          <w:bCs/>
        </w:rPr>
        <w:t>Supplementary Fig</w:t>
      </w:r>
      <w:r w:rsidR="0017484D">
        <w:rPr>
          <w:b/>
          <w:bCs/>
        </w:rPr>
        <w:t>.</w:t>
      </w:r>
      <w:r w:rsidRPr="009003E5">
        <w:rPr>
          <w:b/>
          <w:bCs/>
        </w:rPr>
        <w:t xml:space="preserve"> 8. Evaluation of neuron-like cells in the kidneys.</w:t>
      </w:r>
      <w:r w:rsidRPr="0017484D">
        <w:rPr>
          <w:bCs/>
        </w:rPr>
        <w:t xml:space="preserve"> (A)</w:t>
      </w:r>
      <w:r w:rsidRPr="0017484D">
        <w:t xml:space="preserve"> Distribution of neuron scores in individual renal cells after semi-supervised clustering. </w:t>
      </w:r>
      <w:r w:rsidRPr="0017484D">
        <w:rPr>
          <w:bCs/>
        </w:rPr>
        <w:t>(B)</w:t>
      </w:r>
      <w:r w:rsidRPr="0017484D">
        <w:t xml:space="preserve"> Annotation status of neuronal cells. </w:t>
      </w:r>
      <w:r w:rsidRPr="0017484D">
        <w:rPr>
          <w:bCs/>
        </w:rPr>
        <w:t>(C)</w:t>
      </w:r>
      <w:r w:rsidRPr="0017484D">
        <w:t xml:space="preserve"> Mean scor</w:t>
      </w:r>
      <w:r w:rsidRPr="009003E5">
        <w:t>e values and differences in neuronal cells compared to other cell types in the kidney. *** indicates a significant difference (</w:t>
      </w:r>
      <w:r w:rsidRPr="009003E5">
        <w:rPr>
          <w:i/>
          <w:iCs/>
        </w:rPr>
        <w:t>p</w:t>
      </w:r>
      <w:r w:rsidR="0017484D">
        <w:rPr>
          <w:i/>
          <w:iCs/>
        </w:rPr>
        <w:t xml:space="preserve"> </w:t>
      </w:r>
      <w:r w:rsidRPr="009003E5">
        <w:t>&lt;</w:t>
      </w:r>
      <w:r w:rsidR="0017484D">
        <w:t xml:space="preserve"> </w:t>
      </w:r>
      <w:r w:rsidRPr="009003E5">
        <w:t>0.001) compared to other cell types.</w:t>
      </w:r>
    </w:p>
    <w:p w:rsidR="00003143" w:rsidRPr="009003E5" w:rsidRDefault="00003143" w:rsidP="0017484D">
      <w:pPr>
        <w:pStyle w:val="Figure"/>
      </w:pPr>
      <w:r w:rsidRPr="009003E5">
        <w:rPr>
          <w:noProof/>
        </w:rPr>
        <w:lastRenderedPageBreak/>
        <w:drawing>
          <wp:inline distT="0" distB="0" distL="0" distR="0">
            <wp:extent cx="5267325" cy="338137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7325" cy="3381375"/>
                    </a:xfrm>
                    <a:prstGeom prst="rect">
                      <a:avLst/>
                    </a:prstGeom>
                    <a:noFill/>
                    <a:ln>
                      <a:noFill/>
                    </a:ln>
                  </pic:spPr>
                </pic:pic>
              </a:graphicData>
            </a:graphic>
          </wp:inline>
        </w:drawing>
      </w:r>
    </w:p>
    <w:p w:rsidR="00003143" w:rsidRDefault="00003143" w:rsidP="0017484D">
      <w:pPr>
        <w:pStyle w:val="Figurecaption"/>
      </w:pPr>
      <w:r w:rsidRPr="009003E5">
        <w:rPr>
          <w:b/>
          <w:bCs/>
        </w:rPr>
        <w:t>Supplementary Fig</w:t>
      </w:r>
      <w:r w:rsidR="0017484D">
        <w:rPr>
          <w:b/>
          <w:bCs/>
        </w:rPr>
        <w:t>.</w:t>
      </w:r>
      <w:r w:rsidRPr="009003E5">
        <w:rPr>
          <w:b/>
          <w:bCs/>
        </w:rPr>
        <w:t xml:space="preserve"> 9. Identification of macrophage origins in kidney from PBMCs, fetal and adult renal tissues. </w:t>
      </w:r>
      <w:r w:rsidRPr="0017484D">
        <w:rPr>
          <w:bCs/>
        </w:rPr>
        <w:t>(A</w:t>
      </w:r>
      <w:r w:rsidR="0017484D">
        <w:rPr>
          <w:bCs/>
        </w:rPr>
        <w:t>–</w:t>
      </w:r>
      <w:r w:rsidRPr="0017484D">
        <w:rPr>
          <w:bCs/>
        </w:rPr>
        <w:t>G)</w:t>
      </w:r>
      <w:r w:rsidRPr="0017484D">
        <w:t xml:space="preserve"> Tissue type distribution of individual cells after dimensionality reduction using PCA based on highly variable genes</w:t>
      </w:r>
      <w:r w:rsidRPr="0017484D">
        <w:rPr>
          <w:bCs/>
        </w:rPr>
        <w:t xml:space="preserve"> (A)</w:t>
      </w:r>
      <w:r w:rsidRPr="0017484D">
        <w:t xml:space="preserve">, or the expression levels colored for </w:t>
      </w:r>
      <w:r w:rsidRPr="0017484D">
        <w:rPr>
          <w:i/>
          <w:iCs/>
        </w:rPr>
        <w:t>CD14</w:t>
      </w:r>
      <w:r w:rsidRPr="0017484D">
        <w:rPr>
          <w:bCs/>
        </w:rPr>
        <w:t xml:space="preserve"> (B)</w:t>
      </w:r>
      <w:r w:rsidRPr="0017484D">
        <w:t xml:space="preserve">, </w:t>
      </w:r>
      <w:r w:rsidRPr="0017484D">
        <w:rPr>
          <w:i/>
          <w:iCs/>
        </w:rPr>
        <w:t>CD68</w:t>
      </w:r>
      <w:r w:rsidRPr="0017484D">
        <w:rPr>
          <w:bCs/>
        </w:rPr>
        <w:t xml:space="preserve"> (C)</w:t>
      </w:r>
      <w:r w:rsidRPr="0017484D">
        <w:t>,</w:t>
      </w:r>
      <w:r w:rsidRPr="0017484D">
        <w:rPr>
          <w:i/>
          <w:iCs/>
        </w:rPr>
        <w:t xml:space="preserve"> LYZ</w:t>
      </w:r>
      <w:r w:rsidRPr="0017484D">
        <w:rPr>
          <w:bCs/>
        </w:rPr>
        <w:t xml:space="preserve"> (D)</w:t>
      </w:r>
      <w:r w:rsidRPr="0017484D">
        <w:t>,</w:t>
      </w:r>
      <w:r w:rsidRPr="0017484D">
        <w:rPr>
          <w:i/>
          <w:iCs/>
        </w:rPr>
        <w:t xml:space="preserve"> PTPRC</w:t>
      </w:r>
      <w:r w:rsidRPr="0017484D">
        <w:rPr>
          <w:bCs/>
        </w:rPr>
        <w:t xml:space="preserve"> (E)</w:t>
      </w:r>
      <w:r w:rsidRPr="0017484D">
        <w:t>,</w:t>
      </w:r>
      <w:r w:rsidRPr="0017484D">
        <w:rPr>
          <w:i/>
          <w:iCs/>
        </w:rPr>
        <w:t xml:space="preserve"> CD163</w:t>
      </w:r>
      <w:r w:rsidRPr="0017484D">
        <w:rPr>
          <w:bCs/>
        </w:rPr>
        <w:t xml:space="preserve"> (F)</w:t>
      </w:r>
      <w:r w:rsidRPr="0017484D">
        <w:t xml:space="preserve"> and </w:t>
      </w:r>
      <w:r w:rsidRPr="0017484D">
        <w:rPr>
          <w:i/>
          <w:iCs/>
        </w:rPr>
        <w:t>MRC1</w:t>
      </w:r>
      <w:r w:rsidRPr="0017484D">
        <w:rPr>
          <w:bCs/>
        </w:rPr>
        <w:t xml:space="preserve"> (G)</w:t>
      </w:r>
      <w:r w:rsidRPr="0017484D">
        <w:t>. The red</w:t>
      </w:r>
      <w:r w:rsidRPr="009003E5">
        <w:t xml:space="preserve"> box highlights the distribution of macrophages originating from peripheral blood mononuclear cells (PBMCs).</w:t>
      </w:r>
    </w:p>
    <w:p w:rsidR="0017484D" w:rsidRDefault="0017484D" w:rsidP="0017484D">
      <w:pPr>
        <w:pStyle w:val="Figurecaption"/>
      </w:pPr>
    </w:p>
    <w:p w:rsidR="0017484D" w:rsidRPr="009003E5" w:rsidRDefault="0017484D" w:rsidP="0017484D">
      <w:pPr>
        <w:pStyle w:val="Figurecaption"/>
      </w:pPr>
    </w:p>
    <w:p w:rsidR="00003143" w:rsidRPr="009003E5" w:rsidRDefault="00003143" w:rsidP="0017484D">
      <w:pPr>
        <w:pStyle w:val="Figure"/>
      </w:pPr>
      <w:r w:rsidRPr="009003E5">
        <w:rPr>
          <w:noProof/>
        </w:rPr>
        <w:drawing>
          <wp:inline distT="0" distB="0" distL="0" distR="0">
            <wp:extent cx="4314825" cy="242887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4825" cy="2428875"/>
                    </a:xfrm>
                    <a:prstGeom prst="rect">
                      <a:avLst/>
                    </a:prstGeom>
                    <a:noFill/>
                    <a:ln>
                      <a:noFill/>
                    </a:ln>
                  </pic:spPr>
                </pic:pic>
              </a:graphicData>
            </a:graphic>
          </wp:inline>
        </w:drawing>
      </w:r>
    </w:p>
    <w:p w:rsidR="00003143" w:rsidRPr="0017484D" w:rsidRDefault="00003143" w:rsidP="0017484D">
      <w:pPr>
        <w:pStyle w:val="Figurecaption"/>
        <w:rPr>
          <w:b/>
        </w:rPr>
      </w:pPr>
      <w:r w:rsidRPr="0017484D">
        <w:rPr>
          <w:b/>
        </w:rPr>
        <w:t>Supplementary Fig</w:t>
      </w:r>
      <w:r w:rsidR="0017484D" w:rsidRPr="0017484D">
        <w:rPr>
          <w:b/>
        </w:rPr>
        <w:t>.</w:t>
      </w:r>
      <w:r w:rsidRPr="0017484D">
        <w:rPr>
          <w:b/>
        </w:rPr>
        <w:t xml:space="preserve"> 10. Expression levels of </w:t>
      </w:r>
      <w:r w:rsidRPr="0017484D">
        <w:rPr>
          <w:b/>
          <w:i/>
          <w:iCs/>
        </w:rPr>
        <w:t>CD14</w:t>
      </w:r>
      <w:r w:rsidRPr="0017484D">
        <w:rPr>
          <w:b/>
        </w:rPr>
        <w:t>,</w:t>
      </w:r>
      <w:r w:rsidRPr="0017484D">
        <w:rPr>
          <w:b/>
          <w:i/>
          <w:iCs/>
        </w:rPr>
        <w:t xml:space="preserve"> CD68</w:t>
      </w:r>
      <w:r w:rsidRPr="0017484D">
        <w:rPr>
          <w:b/>
        </w:rPr>
        <w:t>,</w:t>
      </w:r>
      <w:r w:rsidRPr="0017484D">
        <w:rPr>
          <w:b/>
          <w:i/>
          <w:iCs/>
        </w:rPr>
        <w:t xml:space="preserve"> LYZ</w:t>
      </w:r>
      <w:r w:rsidRPr="0017484D">
        <w:rPr>
          <w:b/>
        </w:rPr>
        <w:t>,</w:t>
      </w:r>
      <w:r w:rsidRPr="0017484D">
        <w:rPr>
          <w:b/>
          <w:i/>
          <w:iCs/>
        </w:rPr>
        <w:t xml:space="preserve"> PTPRC</w:t>
      </w:r>
      <w:r w:rsidRPr="0017484D">
        <w:rPr>
          <w:b/>
        </w:rPr>
        <w:t>,</w:t>
      </w:r>
      <w:r w:rsidRPr="0017484D">
        <w:rPr>
          <w:b/>
          <w:i/>
          <w:iCs/>
        </w:rPr>
        <w:t xml:space="preserve"> CD163</w:t>
      </w:r>
      <w:r w:rsidRPr="0017484D">
        <w:rPr>
          <w:b/>
        </w:rPr>
        <w:t xml:space="preserve"> and </w:t>
      </w:r>
      <w:r w:rsidRPr="0017484D">
        <w:rPr>
          <w:b/>
          <w:i/>
          <w:iCs/>
        </w:rPr>
        <w:t>MRC1</w:t>
      </w:r>
      <w:r w:rsidRPr="0017484D">
        <w:rPr>
          <w:b/>
        </w:rPr>
        <w:t xml:space="preserve"> in different cell types.</w:t>
      </w:r>
    </w:p>
    <w:p w:rsidR="00003143" w:rsidRPr="009003E5" w:rsidRDefault="00003143" w:rsidP="0017484D">
      <w:pPr>
        <w:pStyle w:val="Figure"/>
        <w:rPr>
          <w:b/>
          <w:bCs/>
        </w:rPr>
      </w:pPr>
      <w:r w:rsidRPr="009003E5">
        <w:rPr>
          <w:noProof/>
        </w:rPr>
        <w:lastRenderedPageBreak/>
        <w:drawing>
          <wp:inline distT="0" distB="0" distL="0" distR="0">
            <wp:extent cx="4314825" cy="337185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14825" cy="3371850"/>
                    </a:xfrm>
                    <a:prstGeom prst="rect">
                      <a:avLst/>
                    </a:prstGeom>
                    <a:noFill/>
                    <a:ln>
                      <a:noFill/>
                    </a:ln>
                  </pic:spPr>
                </pic:pic>
              </a:graphicData>
            </a:graphic>
          </wp:inline>
        </w:drawing>
      </w:r>
    </w:p>
    <w:p w:rsidR="00003143" w:rsidRDefault="00003143" w:rsidP="0017484D">
      <w:pPr>
        <w:pStyle w:val="Figurecaption"/>
      </w:pPr>
      <w:r w:rsidRPr="00CD2EA4">
        <w:rPr>
          <w:b/>
        </w:rPr>
        <w:t>Supplementary Fig</w:t>
      </w:r>
      <w:r w:rsidR="0017484D" w:rsidRPr="00CD2EA4">
        <w:rPr>
          <w:b/>
        </w:rPr>
        <w:t>.</w:t>
      </w:r>
      <w:r w:rsidRPr="00CD2EA4">
        <w:rPr>
          <w:b/>
        </w:rPr>
        <w:t xml:space="preserve"> 11. Pseudotime analysis of macrophage differentiation origins in diabetic nephropathy (DN) kidneys.</w:t>
      </w:r>
      <w:r w:rsidRPr="009003E5">
        <w:t xml:space="preserve"> (A) The pseudotemporal distribution of differentiation states. (B) The pseudotemporal distribution of tissue types. (C) The differentiation trends of renal macrophages. (D</w:t>
      </w:r>
      <w:r w:rsidR="00CD2EA4">
        <w:t>–</w:t>
      </w:r>
      <w:r w:rsidRPr="009003E5">
        <w:t xml:space="preserve">I) The pseudotemporal distributions of </w:t>
      </w:r>
      <w:r w:rsidRPr="009003E5">
        <w:rPr>
          <w:i/>
          <w:iCs/>
        </w:rPr>
        <w:t>CD14</w:t>
      </w:r>
      <w:r w:rsidRPr="009003E5">
        <w:t xml:space="preserve"> (D), </w:t>
      </w:r>
      <w:r w:rsidRPr="009003E5">
        <w:rPr>
          <w:i/>
          <w:iCs/>
        </w:rPr>
        <w:t>CD68</w:t>
      </w:r>
      <w:r w:rsidRPr="009003E5">
        <w:t xml:space="preserve"> (E),</w:t>
      </w:r>
      <w:r w:rsidRPr="009003E5">
        <w:rPr>
          <w:i/>
          <w:iCs/>
        </w:rPr>
        <w:t xml:space="preserve"> LYZ</w:t>
      </w:r>
      <w:r w:rsidRPr="009003E5">
        <w:t xml:space="preserve"> (F),</w:t>
      </w:r>
      <w:r w:rsidRPr="009003E5">
        <w:rPr>
          <w:i/>
          <w:iCs/>
        </w:rPr>
        <w:t xml:space="preserve"> PTPRC</w:t>
      </w:r>
      <w:r w:rsidRPr="009003E5">
        <w:t xml:space="preserve"> (G),</w:t>
      </w:r>
      <w:r w:rsidRPr="009003E5">
        <w:rPr>
          <w:i/>
          <w:iCs/>
        </w:rPr>
        <w:t xml:space="preserve"> CD163</w:t>
      </w:r>
      <w:r w:rsidRPr="009003E5">
        <w:t xml:space="preserve"> (H) and </w:t>
      </w:r>
      <w:r w:rsidRPr="009003E5">
        <w:rPr>
          <w:i/>
          <w:iCs/>
        </w:rPr>
        <w:t>MRC1</w:t>
      </w:r>
      <w:r w:rsidRPr="009003E5">
        <w:t xml:space="preserve"> (I). The red box highlights adult renal macrophages.</w:t>
      </w:r>
    </w:p>
    <w:p w:rsidR="0017484D" w:rsidRPr="00CD2EA4" w:rsidRDefault="0017484D" w:rsidP="0017484D">
      <w:pPr>
        <w:pStyle w:val="Figurecaption"/>
      </w:pPr>
    </w:p>
    <w:p w:rsidR="0017484D" w:rsidRPr="009003E5" w:rsidRDefault="0017484D" w:rsidP="0017484D">
      <w:pPr>
        <w:pStyle w:val="Figurecaption"/>
      </w:pPr>
    </w:p>
    <w:p w:rsidR="00003143" w:rsidRPr="009003E5" w:rsidRDefault="00003143" w:rsidP="00CD2EA4">
      <w:pPr>
        <w:pStyle w:val="Figure"/>
      </w:pPr>
      <w:r w:rsidRPr="009003E5">
        <w:rPr>
          <w:noProof/>
        </w:rPr>
        <w:drawing>
          <wp:inline distT="0" distB="0" distL="0" distR="0">
            <wp:extent cx="5267325" cy="219075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7325" cy="2190750"/>
                    </a:xfrm>
                    <a:prstGeom prst="rect">
                      <a:avLst/>
                    </a:prstGeom>
                    <a:noFill/>
                    <a:ln>
                      <a:noFill/>
                    </a:ln>
                  </pic:spPr>
                </pic:pic>
              </a:graphicData>
            </a:graphic>
          </wp:inline>
        </w:drawing>
      </w:r>
    </w:p>
    <w:p w:rsidR="00003143" w:rsidRPr="00CD2EA4" w:rsidRDefault="00003143" w:rsidP="00CD2EA4">
      <w:pPr>
        <w:pStyle w:val="Figurecaption"/>
        <w:rPr>
          <w:b/>
        </w:rPr>
      </w:pPr>
      <w:r w:rsidRPr="00CD2EA4">
        <w:rPr>
          <w:b/>
        </w:rPr>
        <w:t>Supplementary Fig</w:t>
      </w:r>
      <w:r w:rsidR="00CD2EA4" w:rsidRPr="00CD2EA4">
        <w:rPr>
          <w:b/>
        </w:rPr>
        <w:t>.</w:t>
      </w:r>
      <w:r w:rsidRPr="00CD2EA4">
        <w:rPr>
          <w:b/>
        </w:rPr>
        <w:t xml:space="preserve"> 12. Expression of different types</w:t>
      </w:r>
      <w:r w:rsidRPr="00CD2EA4">
        <w:rPr>
          <w:rFonts w:eastAsia="等线" w:hint="eastAsia"/>
          <w:b/>
          <w:lang w:eastAsia="zh-CN"/>
        </w:rPr>
        <w:t xml:space="preserve"> of </w:t>
      </w:r>
      <w:r w:rsidRPr="00CD2EA4">
        <w:rPr>
          <w:b/>
        </w:rPr>
        <w:t>markers in</w:t>
      </w:r>
      <w:r w:rsidRPr="00CD2EA4">
        <w:rPr>
          <w:rFonts w:eastAsia="等线" w:hint="eastAsia"/>
          <w:b/>
          <w:lang w:eastAsia="zh-CN"/>
        </w:rPr>
        <w:t xml:space="preserve"> the</w:t>
      </w:r>
      <w:r w:rsidRPr="00CD2EA4">
        <w:rPr>
          <w:b/>
        </w:rPr>
        <w:t xml:space="preserve"> renal macrophage.</w:t>
      </w:r>
    </w:p>
    <w:p w:rsidR="00003143" w:rsidRPr="009003E5" w:rsidRDefault="00003143" w:rsidP="00CD2EA4">
      <w:pPr>
        <w:pStyle w:val="Figure"/>
      </w:pPr>
      <w:r w:rsidRPr="009003E5">
        <w:rPr>
          <w:noProof/>
        </w:rPr>
        <w:lastRenderedPageBreak/>
        <w:drawing>
          <wp:inline distT="0" distB="0" distL="0" distR="0">
            <wp:extent cx="4267200" cy="58197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67200" cy="5819775"/>
                    </a:xfrm>
                    <a:prstGeom prst="rect">
                      <a:avLst/>
                    </a:prstGeom>
                    <a:noFill/>
                    <a:ln>
                      <a:noFill/>
                    </a:ln>
                  </pic:spPr>
                </pic:pic>
              </a:graphicData>
            </a:graphic>
          </wp:inline>
        </w:drawing>
      </w:r>
    </w:p>
    <w:p w:rsidR="00003143" w:rsidRDefault="00003143" w:rsidP="00CD2EA4">
      <w:pPr>
        <w:pStyle w:val="Figurecaption"/>
        <w:rPr>
          <w:b/>
        </w:rPr>
      </w:pPr>
      <w:r w:rsidRPr="00CD2EA4">
        <w:rPr>
          <w:b/>
        </w:rPr>
        <w:t>Supplementary Fig</w:t>
      </w:r>
      <w:r w:rsidR="00CD2EA4" w:rsidRPr="00CD2EA4">
        <w:rPr>
          <w:b/>
        </w:rPr>
        <w:t>.</w:t>
      </w:r>
      <w:r w:rsidRPr="00CD2EA4">
        <w:rPr>
          <w:b/>
        </w:rPr>
        <w:t xml:space="preserve"> 13. Pseudo temporal gene expression heatmap of macrophages (top 50).</w:t>
      </w:r>
    </w:p>
    <w:p w:rsidR="00CD2EA4" w:rsidRDefault="00CD2EA4" w:rsidP="00CD2EA4">
      <w:pPr>
        <w:pStyle w:val="Figurecaption"/>
        <w:rPr>
          <w:b/>
        </w:rPr>
      </w:pPr>
    </w:p>
    <w:p w:rsidR="00CD2EA4" w:rsidRPr="00CD2EA4" w:rsidRDefault="00CD2EA4" w:rsidP="00CD2EA4">
      <w:pPr>
        <w:pStyle w:val="Figurecaption"/>
        <w:rPr>
          <w:b/>
        </w:rPr>
      </w:pPr>
    </w:p>
    <w:p w:rsidR="00003143" w:rsidRPr="009003E5" w:rsidRDefault="00003143" w:rsidP="00CD2EA4">
      <w:pPr>
        <w:pStyle w:val="Figure"/>
        <w:rPr>
          <w:b/>
          <w:bCs/>
        </w:rPr>
      </w:pPr>
      <w:r w:rsidRPr="009003E5">
        <w:rPr>
          <w:noProof/>
        </w:rPr>
        <w:lastRenderedPageBreak/>
        <w:drawing>
          <wp:inline distT="0" distB="0" distL="0" distR="0">
            <wp:extent cx="5267325" cy="281940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7325" cy="2819400"/>
                    </a:xfrm>
                    <a:prstGeom prst="rect">
                      <a:avLst/>
                    </a:prstGeom>
                    <a:noFill/>
                    <a:ln>
                      <a:noFill/>
                    </a:ln>
                  </pic:spPr>
                </pic:pic>
              </a:graphicData>
            </a:graphic>
          </wp:inline>
        </w:drawing>
      </w:r>
    </w:p>
    <w:p w:rsidR="00003143" w:rsidRDefault="00003143" w:rsidP="00CD2EA4">
      <w:pPr>
        <w:pStyle w:val="Figurecaption"/>
      </w:pPr>
      <w:r w:rsidRPr="009003E5">
        <w:rPr>
          <w:b/>
          <w:bCs/>
        </w:rPr>
        <w:t>Supplementary Fig</w:t>
      </w:r>
      <w:r w:rsidR="00CD2EA4">
        <w:rPr>
          <w:b/>
          <w:bCs/>
        </w:rPr>
        <w:t>.</w:t>
      </w:r>
      <w:r w:rsidRPr="009003E5">
        <w:rPr>
          <w:b/>
          <w:bCs/>
        </w:rPr>
        <w:t xml:space="preserve"> 14. Analysis of Ligand-Receptor interactions between macrophages and neurons using Celltalker. </w:t>
      </w:r>
      <w:r w:rsidRPr="00CD2EA4">
        <w:rPr>
          <w:bCs/>
        </w:rPr>
        <w:t xml:space="preserve">(A) </w:t>
      </w:r>
      <w:r w:rsidRPr="00CD2EA4">
        <w:t xml:space="preserve">The scoring results of ligand-receptor interactions. </w:t>
      </w:r>
      <w:r w:rsidRPr="00CD2EA4">
        <w:rPr>
          <w:bCs/>
        </w:rPr>
        <w:t>(B</w:t>
      </w:r>
      <w:r w:rsidR="00CD2EA4">
        <w:rPr>
          <w:bCs/>
        </w:rPr>
        <w:t>,</w:t>
      </w:r>
      <w:r w:rsidRPr="00CD2EA4">
        <w:rPr>
          <w:bCs/>
        </w:rPr>
        <w:t xml:space="preserve">C) </w:t>
      </w:r>
      <w:r w:rsidRPr="00CD2EA4">
        <w:t xml:space="preserve">The expression profiles of proteins with significant interactions in macrophages </w:t>
      </w:r>
      <w:r w:rsidRPr="00CD2EA4">
        <w:rPr>
          <w:bCs/>
        </w:rPr>
        <w:t>(B)</w:t>
      </w:r>
      <w:r w:rsidRPr="00CD2EA4">
        <w:t xml:space="preserve"> and neurons </w:t>
      </w:r>
      <w:r w:rsidRPr="00CD2EA4">
        <w:rPr>
          <w:bCs/>
        </w:rPr>
        <w:t>(C)</w:t>
      </w:r>
      <w:r w:rsidRPr="00CD2EA4">
        <w:t>, re</w:t>
      </w:r>
      <w:r w:rsidRPr="009003E5">
        <w:t>spectively.</w:t>
      </w:r>
    </w:p>
    <w:p w:rsidR="00CD2EA4" w:rsidRDefault="00CD2EA4" w:rsidP="00CD2EA4">
      <w:pPr>
        <w:pStyle w:val="Figurecaption"/>
      </w:pPr>
    </w:p>
    <w:p w:rsidR="00CD2EA4" w:rsidRPr="009003E5" w:rsidRDefault="00CD2EA4" w:rsidP="00CD2EA4">
      <w:pPr>
        <w:pStyle w:val="Figurecaption"/>
      </w:pPr>
    </w:p>
    <w:p w:rsidR="00003143" w:rsidRPr="009003E5" w:rsidRDefault="00003143" w:rsidP="00CD2EA4">
      <w:pPr>
        <w:pStyle w:val="Figure"/>
      </w:pPr>
      <w:r w:rsidRPr="009003E5">
        <w:rPr>
          <w:noProof/>
        </w:rPr>
        <w:drawing>
          <wp:inline distT="0" distB="0" distL="0" distR="0">
            <wp:extent cx="5267325" cy="29051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67325" cy="2905125"/>
                    </a:xfrm>
                    <a:prstGeom prst="rect">
                      <a:avLst/>
                    </a:prstGeom>
                    <a:noFill/>
                    <a:ln>
                      <a:noFill/>
                    </a:ln>
                  </pic:spPr>
                </pic:pic>
              </a:graphicData>
            </a:graphic>
          </wp:inline>
        </w:drawing>
      </w:r>
    </w:p>
    <w:p w:rsidR="00003143" w:rsidRPr="009003E5" w:rsidRDefault="00003143" w:rsidP="00CD2EA4">
      <w:pPr>
        <w:pStyle w:val="Figurecaption"/>
      </w:pPr>
      <w:r w:rsidRPr="009003E5">
        <w:rPr>
          <w:b/>
          <w:bCs/>
        </w:rPr>
        <w:t>Supplementary Fig</w:t>
      </w:r>
      <w:r w:rsidR="00CD2EA4">
        <w:rPr>
          <w:b/>
          <w:bCs/>
        </w:rPr>
        <w:t>.</w:t>
      </w:r>
      <w:r w:rsidRPr="009003E5">
        <w:rPr>
          <w:b/>
          <w:bCs/>
        </w:rPr>
        <w:t xml:space="preserve"> 15. The function of </w:t>
      </w:r>
      <w:r w:rsidRPr="009003E5">
        <w:rPr>
          <w:b/>
          <w:bCs/>
          <w:i/>
          <w:iCs/>
        </w:rPr>
        <w:t>APP</w:t>
      </w:r>
      <w:r w:rsidRPr="009003E5">
        <w:rPr>
          <w:b/>
          <w:bCs/>
        </w:rPr>
        <w:t xml:space="preserve"> and </w:t>
      </w:r>
      <w:r w:rsidRPr="009003E5">
        <w:rPr>
          <w:b/>
          <w:bCs/>
          <w:i/>
          <w:iCs/>
        </w:rPr>
        <w:t>CD74</w:t>
      </w:r>
      <w:r w:rsidRPr="009003E5">
        <w:rPr>
          <w:b/>
          <w:bCs/>
        </w:rPr>
        <w:t xml:space="preserve"> in </w:t>
      </w:r>
      <w:r w:rsidRPr="009003E5">
        <w:rPr>
          <w:b/>
          <w:bCs/>
          <w:i/>
          <w:iCs/>
        </w:rPr>
        <w:t>GABBR1</w:t>
      </w:r>
      <w:r w:rsidRPr="009003E5">
        <w:rPr>
          <w:b/>
          <w:bCs/>
          <w:i/>
          <w:iCs/>
          <w:vertAlign w:val="superscript"/>
        </w:rPr>
        <w:t>hi</w:t>
      </w:r>
      <w:r w:rsidRPr="009003E5">
        <w:rPr>
          <w:b/>
          <w:bCs/>
          <w:i/>
          <w:iCs/>
        </w:rPr>
        <w:t>CHRM3</w:t>
      </w:r>
      <w:r w:rsidRPr="009003E5">
        <w:rPr>
          <w:b/>
          <w:bCs/>
          <w:i/>
          <w:iCs/>
          <w:vertAlign w:val="superscript"/>
        </w:rPr>
        <w:t>hi</w:t>
      </w:r>
      <w:r w:rsidRPr="009003E5">
        <w:rPr>
          <w:b/>
          <w:bCs/>
        </w:rPr>
        <w:t xml:space="preserve"> cells and macrophages. </w:t>
      </w:r>
      <w:r w:rsidRPr="00CD2EA4">
        <w:rPr>
          <w:bCs/>
        </w:rPr>
        <w:t>(A</w:t>
      </w:r>
      <w:r w:rsidR="00CD2EA4">
        <w:rPr>
          <w:bCs/>
        </w:rPr>
        <w:t>,</w:t>
      </w:r>
      <w:r w:rsidRPr="00CD2EA4">
        <w:rPr>
          <w:bCs/>
        </w:rPr>
        <w:t xml:space="preserve">B) </w:t>
      </w:r>
      <w:r w:rsidRPr="00CD2EA4">
        <w:t xml:space="preserve">The interactions of </w:t>
      </w:r>
      <w:r w:rsidRPr="00CD2EA4">
        <w:rPr>
          <w:i/>
          <w:iCs/>
        </w:rPr>
        <w:t>APP</w:t>
      </w:r>
      <w:r w:rsidRPr="00CD2EA4">
        <w:t xml:space="preserve"> in </w:t>
      </w:r>
      <w:r w:rsidRPr="00CD2EA4">
        <w:rPr>
          <w:i/>
          <w:iCs/>
        </w:rPr>
        <w:t>GABBR1</w:t>
      </w:r>
      <w:r w:rsidRPr="00CD2EA4">
        <w:rPr>
          <w:i/>
          <w:iCs/>
          <w:vertAlign w:val="superscript"/>
        </w:rPr>
        <w:t>hi</w:t>
      </w:r>
      <w:r w:rsidRPr="00CD2EA4">
        <w:rPr>
          <w:i/>
          <w:iCs/>
        </w:rPr>
        <w:t>CHRM3</w:t>
      </w:r>
      <w:r w:rsidRPr="00CD2EA4">
        <w:rPr>
          <w:i/>
          <w:iCs/>
          <w:vertAlign w:val="superscript"/>
        </w:rPr>
        <w:t>hi</w:t>
      </w:r>
      <w:r w:rsidRPr="00CD2EA4">
        <w:rPr>
          <w:i/>
          <w:iCs/>
        </w:rPr>
        <w:t xml:space="preserve"> </w:t>
      </w:r>
      <w:r w:rsidRPr="00CD2EA4">
        <w:t>cells</w:t>
      </w:r>
      <w:r w:rsidRPr="00CD2EA4">
        <w:rPr>
          <w:bCs/>
        </w:rPr>
        <w:t xml:space="preserve"> (A)</w:t>
      </w:r>
      <w:r w:rsidRPr="00CD2EA4">
        <w:t xml:space="preserve"> and </w:t>
      </w:r>
      <w:r w:rsidRPr="00CD2EA4">
        <w:rPr>
          <w:i/>
          <w:iCs/>
        </w:rPr>
        <w:t>CD74</w:t>
      </w:r>
      <w:r w:rsidRPr="00CD2EA4">
        <w:t xml:space="preserve"> in </w:t>
      </w:r>
      <w:r w:rsidRPr="00CD2EA4">
        <w:rPr>
          <w:i/>
          <w:iCs/>
        </w:rPr>
        <w:t>RYR1</w:t>
      </w:r>
      <w:r w:rsidRPr="00CD2EA4">
        <w:rPr>
          <w:i/>
          <w:iCs/>
          <w:vertAlign w:val="superscript"/>
        </w:rPr>
        <w:t>+</w:t>
      </w:r>
      <w:r w:rsidRPr="00CD2EA4">
        <w:rPr>
          <w:i/>
          <w:iCs/>
        </w:rPr>
        <w:t>ESRRG</w:t>
      </w:r>
      <w:r w:rsidRPr="00CD2EA4">
        <w:rPr>
          <w:i/>
          <w:iCs/>
          <w:vertAlign w:val="superscript"/>
        </w:rPr>
        <w:t>+</w:t>
      </w:r>
      <w:r w:rsidRPr="00CD2EA4">
        <w:rPr>
          <w:i/>
          <w:iCs/>
        </w:rPr>
        <w:t>BICC1</w:t>
      </w:r>
      <w:r w:rsidRPr="00CD2EA4">
        <w:rPr>
          <w:i/>
          <w:iCs/>
          <w:vertAlign w:val="superscript"/>
        </w:rPr>
        <w:t>+</w:t>
      </w:r>
      <w:r w:rsidRPr="00CD2EA4">
        <w:rPr>
          <w:i/>
          <w:iCs/>
        </w:rPr>
        <w:t xml:space="preserve"> </w:t>
      </w:r>
      <w:r w:rsidRPr="00CD2EA4">
        <w:t xml:space="preserve">cells </w:t>
      </w:r>
      <w:r w:rsidRPr="00CD2EA4">
        <w:rPr>
          <w:bCs/>
        </w:rPr>
        <w:t>(B)</w:t>
      </w:r>
      <w:r w:rsidRPr="00CD2EA4">
        <w:t xml:space="preserve"> with sig</w:t>
      </w:r>
      <w:r w:rsidRPr="009003E5">
        <w:t>nificantly differentially expressed genes, along with their significantly enriched signaling pathways.</w:t>
      </w:r>
    </w:p>
    <w:p w:rsidR="00003143" w:rsidRPr="009003E5" w:rsidRDefault="00003143" w:rsidP="00CD2EA4">
      <w:pPr>
        <w:pStyle w:val="Figure"/>
      </w:pPr>
      <w:r w:rsidRPr="009003E5">
        <w:rPr>
          <w:noProof/>
        </w:rPr>
        <w:lastRenderedPageBreak/>
        <w:drawing>
          <wp:inline distT="0" distB="0" distL="0" distR="0">
            <wp:extent cx="5257800" cy="23717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57800" cy="2371725"/>
                    </a:xfrm>
                    <a:prstGeom prst="rect">
                      <a:avLst/>
                    </a:prstGeom>
                    <a:noFill/>
                    <a:ln>
                      <a:noFill/>
                    </a:ln>
                  </pic:spPr>
                </pic:pic>
              </a:graphicData>
            </a:graphic>
          </wp:inline>
        </w:drawing>
      </w:r>
    </w:p>
    <w:p w:rsidR="00003143" w:rsidRDefault="00003143" w:rsidP="00CD2EA4">
      <w:pPr>
        <w:pStyle w:val="Figurecaption"/>
      </w:pPr>
      <w:r w:rsidRPr="00CD2EA4">
        <w:rPr>
          <w:b/>
        </w:rPr>
        <w:t>Supplementary Fig</w:t>
      </w:r>
      <w:r w:rsidR="00CD2EA4" w:rsidRPr="00CD2EA4">
        <w:rPr>
          <w:b/>
        </w:rPr>
        <w:t>.</w:t>
      </w:r>
      <w:r w:rsidRPr="00CD2EA4">
        <w:rPr>
          <w:b/>
        </w:rPr>
        <w:t xml:space="preserve"> 16. Analysis of Ligand-Receptor interactions between renal macrophages and podocytes (PODO) using celltalker.</w:t>
      </w:r>
      <w:r w:rsidRPr="009003E5">
        <w:t xml:space="preserve"> (A) The scoring results for ligand-receptor interactions. (B</w:t>
      </w:r>
      <w:r w:rsidR="00CD2EA4">
        <w:t>,</w:t>
      </w:r>
      <w:r w:rsidRPr="009003E5">
        <w:t xml:space="preserve">C) Expression profiles of proteins with significant interactions in macrophages (B) and PODO (C), respectively. *, *** represent statistical significance compared to the CON group with </w:t>
      </w:r>
      <w:r w:rsidRPr="009003E5">
        <w:rPr>
          <w:i/>
          <w:iCs/>
        </w:rPr>
        <w:t>p</w:t>
      </w:r>
      <w:r w:rsidR="00CD2EA4">
        <w:rPr>
          <w:i/>
          <w:iCs/>
        </w:rPr>
        <w:t xml:space="preserve"> </w:t>
      </w:r>
      <w:r w:rsidRPr="009003E5">
        <w:t>&lt;</w:t>
      </w:r>
      <w:r w:rsidR="00CD2EA4">
        <w:t xml:space="preserve"> </w:t>
      </w:r>
      <w:r w:rsidRPr="009003E5">
        <w:t xml:space="preserve">0.05 and </w:t>
      </w:r>
      <w:r w:rsidRPr="009003E5">
        <w:rPr>
          <w:i/>
          <w:iCs/>
        </w:rPr>
        <w:t>p</w:t>
      </w:r>
      <w:r w:rsidR="00CD2EA4">
        <w:rPr>
          <w:i/>
          <w:iCs/>
        </w:rPr>
        <w:t xml:space="preserve"> </w:t>
      </w:r>
      <w:r w:rsidRPr="009003E5">
        <w:t>&lt;</w:t>
      </w:r>
      <w:r w:rsidR="00CD2EA4">
        <w:t xml:space="preserve"> </w:t>
      </w:r>
      <w:r w:rsidRPr="009003E5">
        <w:t>0.001, respectively.</w:t>
      </w:r>
    </w:p>
    <w:p w:rsidR="00CD2EA4" w:rsidRDefault="00CD2EA4" w:rsidP="00CD2EA4">
      <w:pPr>
        <w:pStyle w:val="Figurecaption"/>
      </w:pPr>
    </w:p>
    <w:p w:rsidR="00CD2EA4" w:rsidRPr="009003E5" w:rsidRDefault="00CD2EA4" w:rsidP="00CD2EA4">
      <w:pPr>
        <w:pStyle w:val="Figurecaption"/>
      </w:pPr>
    </w:p>
    <w:p w:rsidR="00003143" w:rsidRPr="009003E5" w:rsidRDefault="00003143" w:rsidP="00CD2EA4">
      <w:pPr>
        <w:pStyle w:val="Figure"/>
      </w:pPr>
      <w:r w:rsidRPr="009003E5">
        <w:rPr>
          <w:noProof/>
        </w:rPr>
        <w:drawing>
          <wp:inline distT="0" distB="0" distL="0" distR="0">
            <wp:extent cx="5276850" cy="320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rsidR="00003143" w:rsidRPr="009003E5" w:rsidRDefault="00003143" w:rsidP="00CD2EA4">
      <w:pPr>
        <w:pStyle w:val="Figurecaption"/>
      </w:pPr>
      <w:r w:rsidRPr="009003E5">
        <w:rPr>
          <w:b/>
          <w:bCs/>
        </w:rPr>
        <w:t>Supplementary Fig</w:t>
      </w:r>
      <w:r w:rsidR="00CD2EA4">
        <w:rPr>
          <w:b/>
          <w:bCs/>
        </w:rPr>
        <w:t>.</w:t>
      </w:r>
      <w:r w:rsidRPr="009003E5">
        <w:rPr>
          <w:b/>
          <w:bCs/>
        </w:rPr>
        <w:t xml:space="preserve"> 17. Differentially expressed genes in podocytes (PODO) and their enriched signaling pathways. </w:t>
      </w:r>
      <w:r w:rsidRPr="00CD2EA4">
        <w:rPr>
          <w:bCs/>
        </w:rPr>
        <w:t>(A)</w:t>
      </w:r>
      <w:r w:rsidRPr="00CD2EA4">
        <w:t xml:space="preserve"> A volcano plot illustrating the significantly differentially expressed genes. </w:t>
      </w:r>
      <w:r w:rsidRPr="00CD2EA4">
        <w:rPr>
          <w:bCs/>
        </w:rPr>
        <w:t xml:space="preserve">(B) </w:t>
      </w:r>
      <w:r w:rsidRPr="00CD2EA4">
        <w:t>The significantly enriched signaling</w:t>
      </w:r>
      <w:r w:rsidRPr="009003E5">
        <w:t xml:space="preserve"> pathways (GSEA) of these differentially expressed genes.</w:t>
      </w:r>
    </w:p>
    <w:p w:rsidR="00003143" w:rsidRPr="009003E5" w:rsidRDefault="00003143" w:rsidP="00CD2EA4">
      <w:pPr>
        <w:pStyle w:val="Figure"/>
      </w:pPr>
      <w:r w:rsidRPr="009003E5">
        <w:rPr>
          <w:noProof/>
        </w:rPr>
        <w:lastRenderedPageBreak/>
        <w:drawing>
          <wp:inline distT="0" distB="0" distL="0" distR="0">
            <wp:extent cx="5267325" cy="24479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67325" cy="2447925"/>
                    </a:xfrm>
                    <a:prstGeom prst="rect">
                      <a:avLst/>
                    </a:prstGeom>
                    <a:noFill/>
                    <a:ln>
                      <a:noFill/>
                    </a:ln>
                  </pic:spPr>
                </pic:pic>
              </a:graphicData>
            </a:graphic>
          </wp:inline>
        </w:drawing>
      </w:r>
    </w:p>
    <w:p w:rsidR="00003143" w:rsidRDefault="00003143" w:rsidP="00CD2EA4">
      <w:pPr>
        <w:pStyle w:val="Figurecaption"/>
      </w:pPr>
      <w:r w:rsidRPr="009003E5">
        <w:rPr>
          <w:b/>
          <w:bCs/>
        </w:rPr>
        <w:t>Supplementary Fig</w:t>
      </w:r>
      <w:r w:rsidR="00CD2EA4">
        <w:rPr>
          <w:b/>
          <w:bCs/>
        </w:rPr>
        <w:t>.</w:t>
      </w:r>
      <w:r w:rsidRPr="009003E5">
        <w:rPr>
          <w:b/>
          <w:bCs/>
        </w:rPr>
        <w:t xml:space="preserve"> 18. The function of key receptors including </w:t>
      </w:r>
      <w:r w:rsidRPr="009003E5">
        <w:rPr>
          <w:b/>
          <w:bCs/>
          <w:i/>
          <w:iCs/>
        </w:rPr>
        <w:t>ROBO2</w:t>
      </w:r>
      <w:r w:rsidRPr="009003E5">
        <w:rPr>
          <w:b/>
          <w:bCs/>
        </w:rPr>
        <w:t xml:space="preserve"> and </w:t>
      </w:r>
      <w:r w:rsidRPr="009003E5">
        <w:rPr>
          <w:b/>
          <w:bCs/>
          <w:i/>
          <w:iCs/>
        </w:rPr>
        <w:t xml:space="preserve">EPHA4 </w:t>
      </w:r>
      <w:r w:rsidRPr="009003E5">
        <w:rPr>
          <w:b/>
          <w:bCs/>
        </w:rPr>
        <w:t>in podocytes (PODO).</w:t>
      </w:r>
      <w:r w:rsidRPr="00CD2EA4">
        <w:rPr>
          <w:bCs/>
        </w:rPr>
        <w:t xml:space="preserve"> (A</w:t>
      </w:r>
      <w:r w:rsidR="00CD2EA4">
        <w:rPr>
          <w:bCs/>
        </w:rPr>
        <w:t>,</w:t>
      </w:r>
      <w:r w:rsidRPr="00CD2EA4">
        <w:rPr>
          <w:bCs/>
        </w:rPr>
        <w:t>B)</w:t>
      </w:r>
      <w:r w:rsidRPr="00CD2EA4">
        <w:t xml:space="preserve"> The interactions of </w:t>
      </w:r>
      <w:r w:rsidRPr="00CD2EA4">
        <w:rPr>
          <w:i/>
          <w:iCs/>
        </w:rPr>
        <w:t>ROBO2</w:t>
      </w:r>
      <w:r w:rsidRPr="00CD2EA4">
        <w:t xml:space="preserve"> </w:t>
      </w:r>
      <w:r w:rsidRPr="00CD2EA4">
        <w:rPr>
          <w:bCs/>
        </w:rPr>
        <w:t>(A)</w:t>
      </w:r>
      <w:r w:rsidRPr="00CD2EA4">
        <w:t xml:space="preserve"> and </w:t>
      </w:r>
      <w:r w:rsidRPr="00CD2EA4">
        <w:rPr>
          <w:i/>
          <w:iCs/>
        </w:rPr>
        <w:t>EPHA4</w:t>
      </w:r>
      <w:r w:rsidRPr="00CD2EA4">
        <w:t xml:space="preserve"> </w:t>
      </w:r>
      <w:r w:rsidRPr="00CD2EA4">
        <w:rPr>
          <w:bCs/>
        </w:rPr>
        <w:t>(B)</w:t>
      </w:r>
      <w:r w:rsidRPr="00CD2EA4">
        <w:t xml:space="preserve"> with differentially expressed genes (DEGs) in PODO and their enri</w:t>
      </w:r>
      <w:r w:rsidRPr="009003E5">
        <w:t>ched signaling pathways.</w:t>
      </w:r>
    </w:p>
    <w:p w:rsidR="00CD2EA4" w:rsidRDefault="00CD2EA4" w:rsidP="00CD2EA4">
      <w:pPr>
        <w:pStyle w:val="Figurecaption"/>
      </w:pPr>
    </w:p>
    <w:p w:rsidR="00CD2EA4" w:rsidRPr="009003E5" w:rsidRDefault="00CD2EA4" w:rsidP="00CD2EA4">
      <w:pPr>
        <w:pStyle w:val="Figurecaption"/>
      </w:pPr>
    </w:p>
    <w:p w:rsidR="00003143" w:rsidRPr="009003E5" w:rsidRDefault="00003143" w:rsidP="00CD2EA4">
      <w:pPr>
        <w:pStyle w:val="Figure"/>
      </w:pPr>
      <w:r w:rsidRPr="009003E5">
        <w:rPr>
          <w:noProof/>
        </w:rPr>
        <w:drawing>
          <wp:inline distT="0" distB="0" distL="0" distR="0">
            <wp:extent cx="5267325" cy="26003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7325" cy="2600325"/>
                    </a:xfrm>
                    <a:prstGeom prst="rect">
                      <a:avLst/>
                    </a:prstGeom>
                    <a:noFill/>
                    <a:ln>
                      <a:noFill/>
                    </a:ln>
                  </pic:spPr>
                </pic:pic>
              </a:graphicData>
            </a:graphic>
          </wp:inline>
        </w:drawing>
      </w:r>
    </w:p>
    <w:p w:rsidR="00003143" w:rsidRPr="009003E5" w:rsidRDefault="00003143" w:rsidP="00CD2EA4">
      <w:pPr>
        <w:pStyle w:val="Figurecaption"/>
      </w:pPr>
      <w:r w:rsidRPr="00CD2EA4">
        <w:rPr>
          <w:b/>
        </w:rPr>
        <w:t>Supplementary Fig</w:t>
      </w:r>
      <w:r w:rsidR="00CD2EA4" w:rsidRPr="00CD2EA4">
        <w:rPr>
          <w:b/>
        </w:rPr>
        <w:t>.</w:t>
      </w:r>
      <w:r w:rsidRPr="00CD2EA4">
        <w:rPr>
          <w:b/>
        </w:rPr>
        <w:t xml:space="preserve"> 19. Celltalker analysis identifies </w:t>
      </w:r>
      <w:r w:rsidRPr="00CD2EA4">
        <w:rPr>
          <w:b/>
          <w:i/>
          <w:iCs/>
        </w:rPr>
        <w:t xml:space="preserve">PLG-FLT1 </w:t>
      </w:r>
      <w:r w:rsidRPr="00CD2EA4">
        <w:rPr>
          <w:b/>
        </w:rPr>
        <w:t xml:space="preserve">as a key signal in </w:t>
      </w:r>
      <w:r w:rsidRPr="00CD2EA4">
        <w:rPr>
          <w:b/>
          <w:i/>
          <w:iCs/>
        </w:rPr>
        <w:t>GABBR1</w:t>
      </w:r>
      <w:r w:rsidRPr="00CD2EA4">
        <w:rPr>
          <w:b/>
          <w:i/>
          <w:iCs/>
          <w:vertAlign w:val="superscript"/>
        </w:rPr>
        <w:t>hi</w:t>
      </w:r>
      <w:r w:rsidRPr="00CD2EA4">
        <w:rPr>
          <w:b/>
          <w:i/>
          <w:iCs/>
        </w:rPr>
        <w:t>CHRM3</w:t>
      </w:r>
      <w:r w:rsidRPr="00CD2EA4">
        <w:rPr>
          <w:b/>
          <w:i/>
          <w:iCs/>
          <w:vertAlign w:val="superscript"/>
        </w:rPr>
        <w:t>hi</w:t>
      </w:r>
      <w:r w:rsidRPr="00CD2EA4">
        <w:rPr>
          <w:b/>
        </w:rPr>
        <w:t xml:space="preserve"> cells-podocyte (PODO) signal communication.</w:t>
      </w:r>
      <w:r w:rsidRPr="009003E5">
        <w:t xml:space="preserve"> (A) The scoring results for each interacting ligand-receptor pair in </w:t>
      </w:r>
      <w:r w:rsidRPr="009003E5">
        <w:rPr>
          <w:i/>
          <w:iCs/>
        </w:rPr>
        <w:t>GABBR1</w:t>
      </w:r>
      <w:r w:rsidRPr="009003E5">
        <w:rPr>
          <w:i/>
          <w:iCs/>
          <w:vertAlign w:val="superscript"/>
        </w:rPr>
        <w:t>hi</w:t>
      </w:r>
      <w:r w:rsidRPr="009003E5">
        <w:rPr>
          <w:i/>
          <w:iCs/>
        </w:rPr>
        <w:t>CHRM3</w:t>
      </w:r>
      <w:r w:rsidRPr="009003E5">
        <w:rPr>
          <w:i/>
          <w:iCs/>
          <w:vertAlign w:val="superscript"/>
        </w:rPr>
        <w:t>hi</w:t>
      </w:r>
      <w:r w:rsidRPr="009003E5">
        <w:t xml:space="preserve"> cells and PODO. (B) The expression of key ligand-receptor pairs in </w:t>
      </w:r>
      <w:r w:rsidRPr="009003E5">
        <w:rPr>
          <w:i/>
          <w:iCs/>
        </w:rPr>
        <w:t>GABBR1</w:t>
      </w:r>
      <w:r w:rsidRPr="009003E5">
        <w:rPr>
          <w:i/>
          <w:iCs/>
          <w:vertAlign w:val="superscript"/>
        </w:rPr>
        <w:t>hi</w:t>
      </w:r>
      <w:r w:rsidRPr="009003E5">
        <w:rPr>
          <w:i/>
          <w:iCs/>
        </w:rPr>
        <w:t>CHRM3</w:t>
      </w:r>
      <w:r w:rsidRPr="009003E5">
        <w:rPr>
          <w:i/>
          <w:iCs/>
          <w:vertAlign w:val="superscript"/>
        </w:rPr>
        <w:t>hi</w:t>
      </w:r>
      <w:r w:rsidRPr="009003E5">
        <w:t xml:space="preserve"> cells. (C) The expression of the ligand-receptor pairs in PODO. *, **, *** represent statistical significance compared to the CON group, with </w:t>
      </w:r>
      <w:r w:rsidRPr="009003E5">
        <w:rPr>
          <w:i/>
          <w:iCs/>
        </w:rPr>
        <w:t>p</w:t>
      </w:r>
      <w:r w:rsidRPr="009003E5">
        <w:t>-values &lt;0.05, &lt;0.01, and &lt;0.001, respectively.</w:t>
      </w:r>
    </w:p>
    <w:p w:rsidR="00003143" w:rsidRPr="009003E5" w:rsidRDefault="00003143" w:rsidP="00CD2EA4">
      <w:pPr>
        <w:pStyle w:val="Figure"/>
      </w:pPr>
      <w:r w:rsidRPr="009003E5">
        <w:rPr>
          <w:noProof/>
        </w:rPr>
        <w:lastRenderedPageBreak/>
        <w:drawing>
          <wp:inline distT="0" distB="0" distL="0" distR="0">
            <wp:extent cx="4752975" cy="3857625"/>
            <wp:effectExtent l="0" t="0" r="952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2975" cy="3857625"/>
                    </a:xfrm>
                    <a:prstGeom prst="rect">
                      <a:avLst/>
                    </a:prstGeom>
                    <a:noFill/>
                    <a:ln>
                      <a:noFill/>
                    </a:ln>
                  </pic:spPr>
                </pic:pic>
              </a:graphicData>
            </a:graphic>
          </wp:inline>
        </w:drawing>
      </w:r>
    </w:p>
    <w:p w:rsidR="00003143" w:rsidRDefault="00003143" w:rsidP="00CD2EA4">
      <w:pPr>
        <w:pStyle w:val="Figurecaption"/>
        <w:rPr>
          <w:b/>
        </w:rPr>
      </w:pPr>
      <w:r w:rsidRPr="00CD2EA4">
        <w:rPr>
          <w:b/>
        </w:rPr>
        <w:t>Supplementary Fig</w:t>
      </w:r>
      <w:r w:rsidR="00CD2EA4">
        <w:rPr>
          <w:b/>
        </w:rPr>
        <w:t>.</w:t>
      </w:r>
      <w:r w:rsidRPr="00CD2EA4">
        <w:rPr>
          <w:b/>
        </w:rPr>
        <w:t xml:space="preserve"> 20. Interaction and functional enrichment analysis of significantly differentially expressed genes related to </w:t>
      </w:r>
      <w:r w:rsidRPr="00CD2EA4">
        <w:rPr>
          <w:b/>
          <w:i/>
          <w:iCs/>
        </w:rPr>
        <w:t>INSR</w:t>
      </w:r>
      <w:r w:rsidRPr="00CD2EA4">
        <w:rPr>
          <w:b/>
        </w:rPr>
        <w:t xml:space="preserve"> in renal </w:t>
      </w:r>
      <w:r w:rsidRPr="00CD2EA4">
        <w:rPr>
          <w:b/>
          <w:i/>
          <w:iCs/>
        </w:rPr>
        <w:t>GABBR1</w:t>
      </w:r>
      <w:r w:rsidRPr="00CD2EA4">
        <w:rPr>
          <w:b/>
          <w:i/>
          <w:iCs/>
          <w:vertAlign w:val="superscript"/>
        </w:rPr>
        <w:t>hi</w:t>
      </w:r>
      <w:r w:rsidRPr="00CD2EA4">
        <w:rPr>
          <w:b/>
          <w:i/>
          <w:iCs/>
        </w:rPr>
        <w:t>CHRM3</w:t>
      </w:r>
      <w:r w:rsidRPr="00CD2EA4">
        <w:rPr>
          <w:b/>
          <w:i/>
          <w:iCs/>
          <w:vertAlign w:val="superscript"/>
        </w:rPr>
        <w:t>hi</w:t>
      </w:r>
      <w:r w:rsidRPr="00CD2EA4">
        <w:rPr>
          <w:b/>
        </w:rPr>
        <w:t xml:space="preserve"> cells.</w:t>
      </w:r>
    </w:p>
    <w:p w:rsidR="00CD2EA4" w:rsidRDefault="00CD2EA4" w:rsidP="00CD2EA4">
      <w:pPr>
        <w:pStyle w:val="Figurecaption"/>
        <w:rPr>
          <w:b/>
        </w:rPr>
      </w:pPr>
    </w:p>
    <w:p w:rsidR="00CD2EA4" w:rsidRPr="00CD2EA4" w:rsidRDefault="00CD2EA4" w:rsidP="00CD2EA4">
      <w:pPr>
        <w:pStyle w:val="Figurecaption"/>
        <w:rPr>
          <w:b/>
        </w:rPr>
      </w:pPr>
    </w:p>
    <w:p w:rsidR="00003143" w:rsidRPr="009003E5" w:rsidRDefault="00003143" w:rsidP="00CD2EA4">
      <w:pPr>
        <w:pStyle w:val="Figure"/>
        <w:rPr>
          <w:b/>
          <w:bCs/>
        </w:rPr>
      </w:pPr>
      <w:r w:rsidRPr="009003E5">
        <w:rPr>
          <w:noProof/>
        </w:rPr>
        <w:drawing>
          <wp:inline distT="0" distB="0" distL="0" distR="0">
            <wp:extent cx="5267325" cy="32861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3286125"/>
                    </a:xfrm>
                    <a:prstGeom prst="rect">
                      <a:avLst/>
                    </a:prstGeom>
                    <a:noFill/>
                    <a:ln>
                      <a:noFill/>
                    </a:ln>
                  </pic:spPr>
                </pic:pic>
              </a:graphicData>
            </a:graphic>
          </wp:inline>
        </w:drawing>
      </w:r>
    </w:p>
    <w:p w:rsidR="00003143" w:rsidRPr="00CD2EA4" w:rsidRDefault="00003143" w:rsidP="00CD2EA4">
      <w:pPr>
        <w:pStyle w:val="Figurecaption"/>
        <w:rPr>
          <w:rFonts w:eastAsia="等线"/>
          <w:b/>
          <w:lang w:eastAsia="zh-CN"/>
        </w:rPr>
      </w:pPr>
      <w:bookmarkStart w:id="0" w:name="_GoBack"/>
      <w:r w:rsidRPr="00CD2EA4">
        <w:rPr>
          <w:b/>
        </w:rPr>
        <w:t>Supplementary Fig</w:t>
      </w:r>
      <w:r w:rsidR="00CD2EA4" w:rsidRPr="00CD2EA4">
        <w:rPr>
          <w:b/>
        </w:rPr>
        <w:t>.</w:t>
      </w:r>
      <w:bookmarkEnd w:id="0"/>
      <w:r w:rsidRPr="00CD2EA4">
        <w:rPr>
          <w:b/>
        </w:rPr>
        <w:t xml:space="preserve"> 21. Interaction of </w:t>
      </w:r>
      <w:r w:rsidRPr="00CD2EA4">
        <w:rPr>
          <w:b/>
          <w:i/>
          <w:iCs/>
        </w:rPr>
        <w:t>FLT1</w:t>
      </w:r>
      <w:r w:rsidRPr="00CD2EA4">
        <w:rPr>
          <w:b/>
        </w:rPr>
        <w:t xml:space="preserve"> and </w:t>
      </w:r>
      <w:r w:rsidRPr="00CD2EA4">
        <w:rPr>
          <w:b/>
          <w:i/>
          <w:iCs/>
        </w:rPr>
        <w:t>NTN4</w:t>
      </w:r>
      <w:r w:rsidRPr="00CD2EA4">
        <w:rPr>
          <w:b/>
        </w:rPr>
        <w:t xml:space="preserve"> with significantly differentially expressed genes in renal </w:t>
      </w:r>
      <w:r w:rsidRPr="00CD2EA4">
        <w:rPr>
          <w:b/>
          <w:i/>
          <w:iCs/>
        </w:rPr>
        <w:t>GABBR1</w:t>
      </w:r>
      <w:r w:rsidRPr="00CD2EA4">
        <w:rPr>
          <w:b/>
          <w:i/>
          <w:iCs/>
          <w:vertAlign w:val="superscript"/>
        </w:rPr>
        <w:t>hi</w:t>
      </w:r>
      <w:r w:rsidRPr="00CD2EA4">
        <w:rPr>
          <w:b/>
          <w:i/>
          <w:iCs/>
        </w:rPr>
        <w:t>CHRM3</w:t>
      </w:r>
      <w:r w:rsidRPr="00CD2EA4">
        <w:rPr>
          <w:b/>
          <w:i/>
          <w:iCs/>
          <w:vertAlign w:val="superscript"/>
        </w:rPr>
        <w:t>hi</w:t>
      </w:r>
      <w:r w:rsidRPr="00CD2EA4">
        <w:rPr>
          <w:b/>
        </w:rPr>
        <w:t xml:space="preserve"> cells and enriched signaling pathways. </w:t>
      </w:r>
    </w:p>
    <w:p w:rsidR="00A73E39" w:rsidRDefault="00A73E39">
      <w:pPr>
        <w:ind w:firstLine="420"/>
      </w:pPr>
    </w:p>
    <w:sectPr w:rsidR="00A73E39" w:rsidSect="0017484D">
      <w:footerReference w:type="even" r:id="rId26"/>
      <w:footerReference w:type="default" r:id="rId27"/>
      <w:headerReference w:type="first" r:id="rId28"/>
      <w:pgSz w:w="11906" w:h="16838" w:code="9"/>
      <w:pgMar w:top="1134" w:right="851" w:bottom="1134" w:left="851" w:header="284" w:footer="510" w:gutter="0"/>
      <w:cols w:space="720"/>
      <w:titlePg/>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NimbusRomNo9L">
    <w:altName w:val="Times New Roman"/>
    <w:charset w:val="00"/>
    <w:family w:val="auto"/>
    <w:pitch w:val="variable"/>
    <w:sig w:usb0="00000287" w:usb1="00000000" w:usb2="00000000" w:usb3="00000000" w:csb0="0000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4D1D" w:rsidRDefault="00003143">
    <w:pPr>
      <w:pStyle w:val="a5"/>
      <w:ind w:firstLine="420"/>
      <w:rPr>
        <w:color w:val="C00000"/>
        <w:szCs w:val="24"/>
      </w:rPr>
    </w:pPr>
    <w:r>
      <w:rPr>
        <w:noProof/>
        <w:lang w:eastAsia="zh-CN"/>
      </w:rPr>
      <mc:AlternateContent>
        <mc:Choice Requires="wps">
          <w:drawing>
            <wp:anchor distT="0" distB="0" distL="114300" distR="114300" simplePos="0" relativeHeight="251660288" behindDoc="0" locked="0" layoutInCell="1" allowOverlap="1">
              <wp:simplePos x="0" y="0"/>
              <wp:positionH relativeFrom="page">
                <wp:posOffset>5513705</wp:posOffset>
              </wp:positionH>
              <wp:positionV relativeFrom="page">
                <wp:posOffset>9335770</wp:posOffset>
              </wp:positionV>
              <wp:extent cx="1508760" cy="395605"/>
              <wp:effectExtent l="0" t="1270" r="0" b="3175"/>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76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44D1D" w:rsidRDefault="00CD2EA4">
                          <w:pPr>
                            <w:pStyle w:val="a5"/>
                            <w:jc w:val="right"/>
                            <w:rPr>
                              <w:color w:val="000000"/>
                              <w:szCs w:val="40"/>
                            </w:rPr>
                          </w:pPr>
                          <w:r>
                            <w:rPr>
                              <w:color w:val="000000"/>
                              <w:szCs w:val="40"/>
                            </w:rPr>
                            <w:fldChar w:fldCharType="begin"/>
                          </w:r>
                          <w:r>
                            <w:rPr>
                              <w:color w:val="000000"/>
                              <w:szCs w:val="40"/>
                            </w:rPr>
                            <w:instrText xml:space="preserve"> PAGE  \* Arabic  \* MERGEFORMAT </w:instrText>
                          </w:r>
                          <w:r>
                            <w:rPr>
                              <w:color w:val="000000"/>
                              <w:szCs w:val="40"/>
                            </w:rPr>
                            <w:fldChar w:fldCharType="separate"/>
                          </w:r>
                          <w:r w:rsidRPr="002429CC">
                            <w:rPr>
                              <w:noProof/>
                              <w:color w:val="000000"/>
                              <w:sz w:val="22"/>
                              <w:szCs w:val="40"/>
                            </w:rPr>
                            <w:t>50</w:t>
                          </w:r>
                          <w:r>
                            <w:rPr>
                              <w:color w:val="000000"/>
                              <w:szCs w:val="40"/>
                            </w:rPr>
                            <w:fldChar w:fldCharType="end"/>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4" o:spid="_x0000_s1026" type="#_x0000_t202" style="position:absolute;left:0;text-align:left;margin-left:434.15pt;margin-top:735.1pt;width:118.8pt;height:31.1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" filled="f" stroked="f" strokeweight=".5pt">
              <v:textbox style="mso-fit-shape-to-text:t">
                <w:txbxContent>
                  <w:p w:rsidR="00544D1D" w:rsidRDefault="00CD2EA4">
                    <w:pPr>
                      <w:pStyle w:val="a5"/>
                      <w:jc w:val="right"/>
                      <w:rPr>
                        <w:color w:val="000000"/>
                        <w:szCs w:val="40"/>
                      </w:rPr>
                    </w:pPr>
                    <w:r>
                      <w:rPr>
                        <w:color w:val="000000"/>
                        <w:szCs w:val="40"/>
                      </w:rPr>
                      <w:fldChar w:fldCharType="begin"/>
                    </w:r>
                    <w:r>
                      <w:rPr>
                        <w:color w:val="000000"/>
                        <w:szCs w:val="40"/>
                      </w:rPr>
                      <w:instrText xml:space="preserve"> PAGE  \* Arabic  \* MERGEFORMAT </w:instrText>
                    </w:r>
                    <w:r>
                      <w:rPr>
                        <w:color w:val="000000"/>
                        <w:szCs w:val="40"/>
                      </w:rPr>
                      <w:fldChar w:fldCharType="separate"/>
                    </w:r>
                    <w:r w:rsidRPr="002429CC">
                      <w:rPr>
                        <w:noProof/>
                        <w:color w:val="000000"/>
                        <w:sz w:val="22"/>
                        <w:szCs w:val="40"/>
                      </w:rPr>
                      <w:t>50</w:t>
                    </w:r>
                    <w:r>
                      <w:rPr>
                        <w:color w:val="000000"/>
                        <w:szCs w:val="4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4D1D" w:rsidRDefault="00003143">
    <w:pPr>
      <w:pStyle w:val="a5"/>
      <w:rPr>
        <w:b/>
        <w:sz w:val="20"/>
        <w:szCs w:val="24"/>
      </w:rPr>
    </w:pPr>
    <w:r>
      <w:rPr>
        <w:noProof/>
        <w:lang w:eastAsia="zh-CN"/>
      </w:rPr>
      <mc:AlternateContent>
        <mc:Choice Requires="wps">
          <w:drawing>
            <wp:anchor distT="0" distB="0" distL="114300" distR="114300" simplePos="0" relativeHeight="251659264" behindDoc="0" locked="0" layoutInCell="1" allowOverlap="1">
              <wp:simplePos x="0" y="0"/>
              <wp:positionH relativeFrom="page">
                <wp:posOffset>5513705</wp:posOffset>
              </wp:positionH>
              <wp:positionV relativeFrom="page">
                <wp:posOffset>9335770</wp:posOffset>
              </wp:positionV>
              <wp:extent cx="1508760" cy="395605"/>
              <wp:effectExtent l="0" t="1270" r="0" b="3175"/>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876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44D1D" w:rsidRDefault="00CD2EA4">
                          <w:pPr>
                            <w:pStyle w:val="a5"/>
                            <w:jc w:val="right"/>
                            <w:rPr>
                              <w:color w:val="000000"/>
                              <w:szCs w:val="40"/>
                            </w:rPr>
                          </w:pPr>
                          <w:r>
                            <w:rPr>
                              <w:color w:val="000000"/>
                              <w:szCs w:val="40"/>
                            </w:rPr>
                            <w:fldChar w:fldCharType="begin"/>
                          </w:r>
                          <w:r>
                            <w:rPr>
                              <w:color w:val="000000"/>
                              <w:szCs w:val="40"/>
                            </w:rPr>
                            <w:instrText xml:space="preserve"> PAGE  \* Arabi</w:instrText>
                          </w:r>
                          <w:r>
                            <w:rPr>
                              <w:color w:val="000000"/>
                              <w:szCs w:val="40"/>
                            </w:rPr>
                            <w:instrText xml:space="preserve">c  \* MERGEFORMAT </w:instrText>
                          </w:r>
                          <w:r>
                            <w:rPr>
                              <w:color w:val="000000"/>
                              <w:szCs w:val="40"/>
                            </w:rPr>
                            <w:fldChar w:fldCharType="separate"/>
                          </w:r>
                          <w:r w:rsidRPr="00CD2EA4">
                            <w:rPr>
                              <w:noProof/>
                              <w:color w:val="000000"/>
                              <w:sz w:val="22"/>
                              <w:szCs w:val="40"/>
                            </w:rPr>
                            <w:t>12</w:t>
                          </w:r>
                          <w:r>
                            <w:rPr>
                              <w:color w:val="000000"/>
                              <w:szCs w:val="40"/>
                            </w:rPr>
                            <w:fldChar w:fldCharType="end"/>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3" o:spid="_x0000_s1027" type="#_x0000_t202" style="position:absolute;margin-left:434.15pt;margin-top:735.1pt;width:118.8pt;height:31.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" filled="f" stroked="f" strokeweight=".5pt">
              <v:textbox style="mso-fit-shape-to-text:t">
                <w:txbxContent>
                  <w:p w:rsidR="00544D1D" w:rsidRDefault="00CD2EA4">
                    <w:pPr>
                      <w:pStyle w:val="a5"/>
                      <w:jc w:val="right"/>
                      <w:rPr>
                        <w:color w:val="000000"/>
                        <w:szCs w:val="40"/>
                      </w:rPr>
                    </w:pPr>
                    <w:r>
                      <w:rPr>
                        <w:color w:val="000000"/>
                        <w:szCs w:val="40"/>
                      </w:rPr>
                      <w:fldChar w:fldCharType="begin"/>
                    </w:r>
                    <w:r>
                      <w:rPr>
                        <w:color w:val="000000"/>
                        <w:szCs w:val="40"/>
                      </w:rPr>
                      <w:instrText xml:space="preserve"> PAGE  \* Arabi</w:instrText>
                    </w:r>
                    <w:r>
                      <w:rPr>
                        <w:color w:val="000000"/>
                        <w:szCs w:val="40"/>
                      </w:rPr>
                      <w:instrText xml:space="preserve">c  \* MERGEFORMAT </w:instrText>
                    </w:r>
                    <w:r>
                      <w:rPr>
                        <w:color w:val="000000"/>
                        <w:szCs w:val="40"/>
                      </w:rPr>
                      <w:fldChar w:fldCharType="separate"/>
                    </w:r>
                    <w:r w:rsidRPr="00CD2EA4">
                      <w:rPr>
                        <w:noProof/>
                        <w:color w:val="000000"/>
                        <w:sz w:val="22"/>
                        <w:szCs w:val="40"/>
                      </w:rPr>
                      <w:t>12</w:t>
                    </w:r>
                    <w:r>
                      <w:rPr>
                        <w:color w:val="000000"/>
                        <w:szCs w:val="40"/>
                      </w:rPr>
                      <w:fldChar w:fldCharType="end"/>
                    </w:r>
                  </w:p>
                </w:txbxContent>
              </v:textbox>
              <w10:wrap anchorx="page" anchory="page"/>
            </v:shape>
          </w:pict>
        </mc:Fallback>
      </mc:AlternateConten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4D1D" w:rsidRDefault="00003143">
    <w:pPr>
      <w:pStyle w:val="a7"/>
      <w:rPr>
        <w:rFonts w:eastAsia="等线" w:hint="eastAsia"/>
        <w:lang w:eastAsia="zh-CN"/>
      </w:rPr>
    </w:pPr>
    <w:r>
      <w:rPr>
        <w:noProof/>
        <w:lang w:eastAsia="zh-CN"/>
      </w:rPr>
      <w:drawing>
        <wp:inline distT="0" distB="0" distL="0" distR="0">
          <wp:extent cx="438150" cy="5619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619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B468F5"/>
    <w:multiLevelType w:val="hybridMultilevel"/>
    <w:tmpl w:val="658299A2"/>
    <w:lvl w:ilvl="0" w:tplc="CE24E69A">
      <w:start w:val="1"/>
      <w:numFmt w:val="bullet"/>
      <w:lvlRestart w:val="0"/>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D661A69"/>
    <w:multiLevelType w:val="multilevel"/>
    <w:tmpl w:val="B7664590"/>
    <w:lvl w:ilvl="0">
      <w:start w:val="1"/>
      <w:numFmt w:val="decimal"/>
      <w:lvlRestart w:val="0"/>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7B2173DC"/>
    <w:multiLevelType w:val="hybridMultilevel"/>
    <w:tmpl w:val="184EDD5C"/>
    <w:lvl w:ilvl="0" w:tplc="6C4ADA66">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0"/>
  </w:num>
  <w:num w:numId="14">
    <w:abstractNumId w:val="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defaultTabStop w:val="420"/>
  <w:drawingGridHorizontalSpacing w:val="120"/>
  <w:displayHorizontalDrawingGridEvery w:val="0"/>
  <w:displayVerticalDrawingGridEvery w:val="2"/>
  <w:characterSpacingControl w:val="compressPunctuation"/>
  <w:hdrShapeDefaults>
    <o:shapedefaults v:ext="edit" spidmax="2049"/>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3143"/>
    <w:rsid w:val="00003143"/>
    <w:rsid w:val="000707FD"/>
    <w:rsid w:val="0017484D"/>
    <w:rsid w:val="001B4B87"/>
    <w:rsid w:val="00571281"/>
    <w:rsid w:val="005C2315"/>
    <w:rsid w:val="0066128C"/>
    <w:rsid w:val="00701096"/>
    <w:rsid w:val="007863C5"/>
    <w:rsid w:val="0080688F"/>
    <w:rsid w:val="00825ADE"/>
    <w:rsid w:val="008F6590"/>
    <w:rsid w:val="00A73E39"/>
    <w:rsid w:val="00A74568"/>
    <w:rsid w:val="00B41233"/>
    <w:rsid w:val="00B81A73"/>
    <w:rsid w:val="00C92D0C"/>
    <w:rsid w:val="00CD2EA4"/>
    <w:rsid w:val="00DB5C28"/>
    <w:rsid w:val="00E120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A0BC4D"/>
  <w15:chartTrackingRefBased/>
  <w15:docId w15:val="{8D89F9A0-6B79-4DB4-905C-0F250F9D1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11" w:qFormat="1"/>
    <w:lsdException w:name="heading 2" w:semiHidden="1" w:uiPriority="11" w:unhideWhenUsed="1" w:qFormat="1"/>
    <w:lsdException w:name="heading 3" w:semiHidden="1" w:uiPriority="1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uiPriority="20" w:unhideWhenUsed="1" w:qFormat="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uiPriority="22"/>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uiPriority="1"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emiHidden/>
    <w:qFormat/>
    <w:rsid w:val="00003143"/>
    <w:pPr>
      <w:spacing w:before="120" w:after="240"/>
    </w:pPr>
    <w:rPr>
      <w:rFonts w:ascii="Times New Roman" w:eastAsia="Calibri" w:hAnsi="Times New Roman" w:cs="Times New Roman"/>
      <w:kern w:val="0"/>
      <w:sz w:val="24"/>
      <w:lang w:eastAsia="en-US"/>
    </w:rPr>
  </w:style>
  <w:style w:type="paragraph" w:styleId="1">
    <w:name w:val="heading 1"/>
    <w:aliases w:val="Heading level 1"/>
    <w:basedOn w:val="a"/>
    <w:next w:val="a"/>
    <w:link w:val="10"/>
    <w:uiPriority w:val="11"/>
    <w:qFormat/>
    <w:rsid w:val="0017484D"/>
    <w:pPr>
      <w:keepNext/>
      <w:keepLines/>
      <w:adjustRightInd w:val="0"/>
      <w:snapToGrid w:val="0"/>
      <w:spacing w:before="360" w:after="360"/>
      <w:jc w:val="both"/>
      <w:outlineLvl w:val="0"/>
    </w:pPr>
    <w:rPr>
      <w:rFonts w:eastAsia="Times New Roman"/>
      <w:b/>
      <w:bCs/>
      <w:noProof/>
      <w:color w:val="000000"/>
      <w:kern w:val="44"/>
      <w:szCs w:val="24"/>
      <w:lang w:eastAsia="zh-CN"/>
    </w:rPr>
  </w:style>
  <w:style w:type="paragraph" w:styleId="2">
    <w:name w:val="heading 2"/>
    <w:aliases w:val="Heading level 2"/>
    <w:basedOn w:val="a"/>
    <w:next w:val="a"/>
    <w:link w:val="20"/>
    <w:uiPriority w:val="11"/>
    <w:qFormat/>
    <w:rsid w:val="0017484D"/>
    <w:pPr>
      <w:keepNext/>
      <w:keepLines/>
      <w:adjustRightInd w:val="0"/>
      <w:snapToGrid w:val="0"/>
      <w:spacing w:before="240"/>
      <w:jc w:val="both"/>
      <w:outlineLvl w:val="1"/>
    </w:pPr>
    <w:rPr>
      <w:rFonts w:eastAsia="Times New Roman"/>
      <w:b/>
      <w:bCs/>
      <w:i/>
      <w:noProof/>
      <w:color w:val="000000"/>
      <w:sz w:val="21"/>
      <w:szCs w:val="21"/>
      <w:lang w:eastAsia="zh-CN"/>
    </w:rPr>
  </w:style>
  <w:style w:type="paragraph" w:styleId="3">
    <w:name w:val="heading 3"/>
    <w:aliases w:val="Heading level 3"/>
    <w:basedOn w:val="a"/>
    <w:next w:val="a"/>
    <w:link w:val="30"/>
    <w:uiPriority w:val="11"/>
    <w:qFormat/>
    <w:rsid w:val="0017484D"/>
    <w:pPr>
      <w:keepNext/>
      <w:keepLines/>
      <w:adjustRightInd w:val="0"/>
      <w:snapToGrid w:val="0"/>
      <w:spacing w:before="160" w:after="160"/>
      <w:jc w:val="both"/>
      <w:outlineLvl w:val="2"/>
    </w:pPr>
    <w:rPr>
      <w:rFonts w:eastAsia="Times New Roman"/>
      <w:bCs/>
      <w:i/>
      <w:noProof/>
      <w:color w:val="000000"/>
      <w:sz w:val="21"/>
      <w:szCs w:val="21"/>
      <w:lang w:eastAsia="zh-CN"/>
    </w:rPr>
  </w:style>
  <w:style w:type="paragraph" w:styleId="4">
    <w:name w:val="heading 4"/>
    <w:basedOn w:val="a"/>
    <w:next w:val="a"/>
    <w:link w:val="40"/>
    <w:uiPriority w:val="9"/>
    <w:semiHidden/>
    <w:qFormat/>
    <w:rsid w:val="00B81A73"/>
    <w:pPr>
      <w:keepNext/>
      <w:keepLines/>
      <w:widowControl w:val="0"/>
      <w:spacing w:before="280" w:after="290" w:line="376" w:lineRule="auto"/>
      <w:ind w:firstLineChars="200" w:firstLine="320"/>
      <w:jc w:val="both"/>
      <w:outlineLvl w:val="3"/>
    </w:pPr>
    <w:rPr>
      <w:rFonts w:ascii="Calibri Light" w:eastAsia="NimbusRomNo9L" w:hAnsi="Calibri Light" w:cs="NimbusRomNo9L"/>
      <w:b/>
      <w:bCs/>
      <w:sz w:val="28"/>
      <w:szCs w:val="28"/>
      <w:lang w:eastAsia="zh-CN"/>
    </w:rPr>
  </w:style>
  <w:style w:type="paragraph" w:styleId="5">
    <w:name w:val="heading 5"/>
    <w:basedOn w:val="a"/>
    <w:next w:val="a"/>
    <w:link w:val="50"/>
    <w:uiPriority w:val="9"/>
    <w:semiHidden/>
    <w:qFormat/>
    <w:rsid w:val="0066128C"/>
    <w:pPr>
      <w:keepNext/>
      <w:keepLines/>
      <w:widowControl w:val="0"/>
      <w:spacing w:before="280" w:after="290" w:line="376" w:lineRule="auto"/>
      <w:ind w:firstLineChars="200" w:firstLine="200"/>
      <w:jc w:val="both"/>
      <w:outlineLvl w:val="4"/>
    </w:pPr>
    <w:rPr>
      <w:rFonts w:eastAsia="Times New Roman"/>
      <w:b/>
      <w:bCs/>
      <w:kern w:val="2"/>
      <w:sz w:val="28"/>
      <w:szCs w:val="28"/>
      <w:lang w:eastAsia="zh-CN"/>
    </w:rPr>
  </w:style>
  <w:style w:type="paragraph" w:styleId="6">
    <w:name w:val="heading 6"/>
    <w:basedOn w:val="a"/>
    <w:next w:val="a"/>
    <w:link w:val="60"/>
    <w:uiPriority w:val="9"/>
    <w:semiHidden/>
    <w:qFormat/>
    <w:rsid w:val="00B81A73"/>
    <w:pPr>
      <w:keepNext/>
      <w:keepLines/>
      <w:widowControl w:val="0"/>
      <w:numPr>
        <w:ilvl w:val="5"/>
        <w:numId w:val="12"/>
      </w:numPr>
      <w:spacing w:before="240" w:after="64" w:line="320" w:lineRule="auto"/>
      <w:ind w:firstLine="0"/>
      <w:jc w:val="both"/>
      <w:outlineLvl w:val="5"/>
    </w:pPr>
    <w:rPr>
      <w:rFonts w:asciiTheme="majorHAnsi" w:eastAsiaTheme="majorEastAsia" w:hAnsiTheme="majorHAnsi" w:cstheme="majorBidi"/>
      <w:b/>
      <w:bCs/>
      <w:kern w:val="2"/>
      <w:szCs w:val="24"/>
      <w:lang w:eastAsia="zh-CN"/>
    </w:rPr>
  </w:style>
  <w:style w:type="paragraph" w:styleId="7">
    <w:name w:val="heading 7"/>
    <w:basedOn w:val="a"/>
    <w:next w:val="a"/>
    <w:link w:val="70"/>
    <w:uiPriority w:val="9"/>
    <w:semiHidden/>
    <w:qFormat/>
    <w:rsid w:val="00B81A73"/>
    <w:pPr>
      <w:keepNext/>
      <w:keepLines/>
      <w:widowControl w:val="0"/>
      <w:numPr>
        <w:ilvl w:val="6"/>
        <w:numId w:val="12"/>
      </w:numPr>
      <w:spacing w:before="240" w:after="64" w:line="320" w:lineRule="auto"/>
      <w:ind w:firstLine="0"/>
      <w:jc w:val="both"/>
      <w:outlineLvl w:val="6"/>
    </w:pPr>
    <w:rPr>
      <w:rFonts w:eastAsia="Times New Roman"/>
      <w:b/>
      <w:bCs/>
      <w:kern w:val="2"/>
      <w:szCs w:val="24"/>
      <w:lang w:eastAsia="zh-CN"/>
    </w:rPr>
  </w:style>
  <w:style w:type="paragraph" w:styleId="8">
    <w:name w:val="heading 8"/>
    <w:basedOn w:val="a"/>
    <w:next w:val="a"/>
    <w:link w:val="80"/>
    <w:uiPriority w:val="9"/>
    <w:semiHidden/>
    <w:qFormat/>
    <w:rsid w:val="00B81A73"/>
    <w:pPr>
      <w:keepNext/>
      <w:keepLines/>
      <w:widowControl w:val="0"/>
      <w:numPr>
        <w:ilvl w:val="7"/>
        <w:numId w:val="12"/>
      </w:numPr>
      <w:spacing w:before="240" w:after="64" w:line="320" w:lineRule="auto"/>
      <w:ind w:firstLine="0"/>
      <w:jc w:val="both"/>
      <w:outlineLvl w:val="7"/>
    </w:pPr>
    <w:rPr>
      <w:rFonts w:asciiTheme="majorHAnsi" w:eastAsiaTheme="majorEastAsia" w:hAnsiTheme="majorHAnsi" w:cstheme="majorBidi"/>
      <w:kern w:val="2"/>
      <w:szCs w:val="24"/>
      <w:lang w:eastAsia="zh-CN"/>
    </w:rPr>
  </w:style>
  <w:style w:type="paragraph" w:styleId="9">
    <w:name w:val="heading 9"/>
    <w:basedOn w:val="a"/>
    <w:next w:val="a"/>
    <w:link w:val="90"/>
    <w:uiPriority w:val="9"/>
    <w:semiHidden/>
    <w:qFormat/>
    <w:rsid w:val="00B81A73"/>
    <w:pPr>
      <w:keepNext/>
      <w:keepLines/>
      <w:widowControl w:val="0"/>
      <w:numPr>
        <w:ilvl w:val="8"/>
        <w:numId w:val="12"/>
      </w:numPr>
      <w:spacing w:before="240" w:after="64" w:line="320" w:lineRule="auto"/>
      <w:ind w:firstLine="0"/>
      <w:jc w:val="both"/>
      <w:outlineLvl w:val="8"/>
    </w:pPr>
    <w:rPr>
      <w:rFonts w:asciiTheme="majorHAnsi" w:eastAsiaTheme="majorEastAsia" w:hAnsiTheme="majorHAnsi" w:cstheme="majorBidi"/>
      <w:kern w:val="2"/>
      <w:sz w:val="21"/>
      <w:szCs w:val="21"/>
      <w:lang w:eastAsia="zh-CN"/>
    </w:rPr>
  </w:style>
  <w:style w:type="character" w:default="1" w:styleId="a0">
    <w:name w:val="Default Paragraph Font"/>
    <w:uiPriority w:val="1"/>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eading level 1 字符"/>
    <w:basedOn w:val="a0"/>
    <w:link w:val="1"/>
    <w:uiPriority w:val="11"/>
    <w:rsid w:val="0017484D"/>
    <w:rPr>
      <w:rFonts w:ascii="Times New Roman" w:eastAsia="Times New Roman" w:hAnsi="Times New Roman" w:cs="Times New Roman"/>
      <w:b/>
      <w:bCs/>
      <w:noProof/>
      <w:color w:val="000000"/>
      <w:kern w:val="44"/>
      <w:sz w:val="24"/>
      <w:szCs w:val="24"/>
    </w:rPr>
  </w:style>
  <w:style w:type="character" w:customStyle="1" w:styleId="20">
    <w:name w:val="标题 2 字符"/>
    <w:aliases w:val="Heading level 2 字符"/>
    <w:basedOn w:val="a0"/>
    <w:link w:val="2"/>
    <w:uiPriority w:val="11"/>
    <w:rsid w:val="0017484D"/>
    <w:rPr>
      <w:rFonts w:ascii="Times New Roman" w:eastAsia="Times New Roman" w:hAnsi="Times New Roman" w:cs="Times New Roman"/>
      <w:b/>
      <w:bCs/>
      <w:i/>
      <w:noProof/>
      <w:color w:val="000000"/>
      <w:kern w:val="0"/>
      <w:szCs w:val="21"/>
    </w:rPr>
  </w:style>
  <w:style w:type="character" w:customStyle="1" w:styleId="30">
    <w:name w:val="标题 3 字符"/>
    <w:aliases w:val="Heading level 3 字符"/>
    <w:basedOn w:val="a0"/>
    <w:link w:val="3"/>
    <w:uiPriority w:val="11"/>
    <w:rsid w:val="0017484D"/>
    <w:rPr>
      <w:rFonts w:ascii="Times New Roman" w:eastAsia="Times New Roman" w:hAnsi="Times New Roman" w:cs="Times New Roman"/>
      <w:bCs/>
      <w:i/>
      <w:noProof/>
      <w:color w:val="000000"/>
      <w:kern w:val="0"/>
      <w:szCs w:val="21"/>
    </w:rPr>
  </w:style>
  <w:style w:type="character" w:customStyle="1" w:styleId="40">
    <w:name w:val="标题 4 字符"/>
    <w:link w:val="4"/>
    <w:uiPriority w:val="9"/>
    <w:semiHidden/>
    <w:rsid w:val="0017484D"/>
    <w:rPr>
      <w:rFonts w:ascii="Calibri Light" w:eastAsia="NimbusRomNo9L" w:hAnsi="Calibri Light" w:cs="NimbusRomNo9L"/>
      <w:b/>
      <w:bCs/>
      <w:kern w:val="0"/>
      <w:sz w:val="28"/>
      <w:szCs w:val="28"/>
    </w:rPr>
  </w:style>
  <w:style w:type="character" w:customStyle="1" w:styleId="50">
    <w:name w:val="标题 5 字符"/>
    <w:link w:val="5"/>
    <w:uiPriority w:val="9"/>
    <w:semiHidden/>
    <w:rsid w:val="0017484D"/>
    <w:rPr>
      <w:rFonts w:ascii="Times New Roman" w:eastAsia="Times New Roman" w:hAnsi="Times New Roman" w:cs="Times New Roman"/>
      <w:b/>
      <w:bCs/>
      <w:sz w:val="28"/>
      <w:szCs w:val="28"/>
    </w:rPr>
  </w:style>
  <w:style w:type="character" w:customStyle="1" w:styleId="60">
    <w:name w:val="标题 6 字符"/>
    <w:basedOn w:val="a0"/>
    <w:link w:val="6"/>
    <w:uiPriority w:val="9"/>
    <w:semiHidden/>
    <w:rsid w:val="0017484D"/>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rsid w:val="0017484D"/>
    <w:rPr>
      <w:rFonts w:ascii="Times New Roman" w:eastAsia="Times New Roman" w:hAnsi="Times New Roman" w:cs="Times New Roman"/>
      <w:b/>
      <w:bCs/>
      <w:sz w:val="24"/>
      <w:szCs w:val="24"/>
    </w:rPr>
  </w:style>
  <w:style w:type="character" w:customStyle="1" w:styleId="80">
    <w:name w:val="标题 8 字符"/>
    <w:basedOn w:val="a0"/>
    <w:link w:val="8"/>
    <w:uiPriority w:val="9"/>
    <w:semiHidden/>
    <w:rsid w:val="0017484D"/>
    <w:rPr>
      <w:rFonts w:asciiTheme="majorHAnsi" w:eastAsiaTheme="majorEastAsia" w:hAnsiTheme="majorHAnsi" w:cstheme="majorBidi"/>
      <w:sz w:val="24"/>
      <w:szCs w:val="24"/>
    </w:rPr>
  </w:style>
  <w:style w:type="character" w:customStyle="1" w:styleId="90">
    <w:name w:val="标题 9 字符"/>
    <w:basedOn w:val="a0"/>
    <w:link w:val="9"/>
    <w:uiPriority w:val="9"/>
    <w:semiHidden/>
    <w:rsid w:val="0017484D"/>
    <w:rPr>
      <w:rFonts w:asciiTheme="majorHAnsi" w:eastAsiaTheme="majorEastAsia" w:hAnsiTheme="majorHAnsi" w:cstheme="majorBidi"/>
      <w:szCs w:val="21"/>
    </w:rPr>
  </w:style>
  <w:style w:type="paragraph" w:customStyle="1" w:styleId="Abstract">
    <w:name w:val="Abstract"/>
    <w:next w:val="a"/>
    <w:uiPriority w:val="9"/>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Academiceditor">
    <w:name w:val="Academic editor"/>
    <w:uiPriority w:val="6"/>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Affiliation">
    <w:name w:val="Affiliation"/>
    <w:uiPriority w:val="3"/>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Articletitle">
    <w:name w:val="Article title"/>
    <w:next w:val="a"/>
    <w:uiPriority w:val="1"/>
    <w:qFormat/>
    <w:rsid w:val="0017484D"/>
    <w:pPr>
      <w:adjustRightInd w:val="0"/>
      <w:snapToGrid w:val="0"/>
      <w:jc w:val="both"/>
    </w:pPr>
    <w:rPr>
      <w:rFonts w:ascii="Times New Roman" w:eastAsia="Times New Roman" w:hAnsi="Times New Roman" w:cs="Times New Roman"/>
      <w:b/>
      <w:snapToGrid w:val="0"/>
      <w:color w:val="000000"/>
      <w:kern w:val="0"/>
      <w:sz w:val="36"/>
      <w:szCs w:val="20"/>
      <w:lang w:eastAsia="de-DE" w:bidi="en-US"/>
    </w:rPr>
  </w:style>
  <w:style w:type="paragraph" w:customStyle="1" w:styleId="Articletype">
    <w:name w:val="Article type"/>
    <w:next w:val="a"/>
    <w:qFormat/>
    <w:rsid w:val="0017484D"/>
    <w:pPr>
      <w:adjustRightInd w:val="0"/>
      <w:snapToGrid w:val="0"/>
    </w:pPr>
    <w:rPr>
      <w:rFonts w:ascii="Times New Roman" w:eastAsia="Times New Roman" w:hAnsi="Times New Roman" w:cs="Times New Roman"/>
      <w:i/>
      <w:snapToGrid w:val="0"/>
      <w:color w:val="000000"/>
      <w:kern w:val="0"/>
      <w:sz w:val="20"/>
      <w:lang w:eastAsia="de-DE" w:bidi="en-US"/>
    </w:rPr>
  </w:style>
  <w:style w:type="paragraph" w:customStyle="1" w:styleId="Authornames">
    <w:name w:val="Authornames"/>
    <w:next w:val="a"/>
    <w:uiPriority w:val="2"/>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Backmatter">
    <w:name w:val="Back matter"/>
    <w:uiPriority w:val="18"/>
    <w:qFormat/>
    <w:rsid w:val="0017484D"/>
    <w:pPr>
      <w:adjustRightInd w:val="0"/>
      <w:snapToGrid w:val="0"/>
      <w:spacing w:beforeLines="50" w:before="50" w:afterLines="50" w:after="50"/>
      <w:jc w:val="both"/>
    </w:pPr>
    <w:rPr>
      <w:rFonts w:ascii="Times New Roman" w:eastAsia="Times New Roman" w:hAnsi="Times New Roman" w:cs="Times New Roman"/>
      <w:b/>
      <w:snapToGrid w:val="0"/>
      <w:color w:val="000000"/>
      <w:kern w:val="0"/>
      <w:sz w:val="24"/>
      <w:szCs w:val="24"/>
      <w:lang w:eastAsia="en-US" w:bidi="en-US"/>
    </w:rPr>
  </w:style>
  <w:style w:type="paragraph" w:customStyle="1" w:styleId="Backmattertext">
    <w:name w:val="Back matter text"/>
    <w:link w:val="Backmattertext0"/>
    <w:uiPriority w:val="19"/>
    <w:qFormat/>
    <w:rsid w:val="0017484D"/>
    <w:pPr>
      <w:ind w:firstLineChars="200" w:firstLine="200"/>
      <w:jc w:val="both"/>
    </w:pPr>
    <w:rPr>
      <w:rFonts w:ascii="Times New Roman" w:eastAsia="Times New Roman" w:hAnsi="Times New Roman" w:cs="Times New Roman"/>
      <w:snapToGrid w:val="0"/>
      <w:color w:val="000000"/>
      <w:kern w:val="0"/>
      <w:lang w:eastAsia="de-DE" w:bidi="en-US"/>
    </w:rPr>
  </w:style>
  <w:style w:type="character" w:customStyle="1" w:styleId="Backmattertext0">
    <w:name w:val="Back matter text 字符"/>
    <w:basedOn w:val="a0"/>
    <w:link w:val="Backmattertext"/>
    <w:uiPriority w:val="19"/>
    <w:rsid w:val="0017484D"/>
    <w:rPr>
      <w:rFonts w:ascii="Times New Roman" w:eastAsia="Times New Roman" w:hAnsi="Times New Roman" w:cs="Times New Roman"/>
      <w:snapToGrid w:val="0"/>
      <w:color w:val="000000"/>
      <w:kern w:val="0"/>
      <w:lang w:eastAsia="de-DE" w:bidi="en-US"/>
    </w:rPr>
  </w:style>
  <w:style w:type="paragraph" w:customStyle="1" w:styleId="E-mail">
    <w:name w:val="E-mail"/>
    <w:link w:val="E-mail0"/>
    <w:uiPriority w:val="5"/>
    <w:qFormat/>
    <w:rsid w:val="0017484D"/>
    <w:rPr>
      <w:rFonts w:ascii="Times New Roman" w:eastAsia="Times New Roman" w:hAnsi="Times New Roman" w:cs="Times New Roman"/>
      <w:snapToGrid w:val="0"/>
      <w:color w:val="000000"/>
      <w:kern w:val="0"/>
      <w:szCs w:val="21"/>
      <w:lang w:eastAsia="de-DE" w:bidi="en-US"/>
    </w:rPr>
  </w:style>
  <w:style w:type="character" w:customStyle="1" w:styleId="E-mail0">
    <w:name w:val="E-mail 字符"/>
    <w:basedOn w:val="a0"/>
    <w:link w:val="E-mail"/>
    <w:uiPriority w:val="5"/>
    <w:rsid w:val="0017484D"/>
    <w:rPr>
      <w:rFonts w:ascii="Times New Roman" w:eastAsia="Times New Roman" w:hAnsi="Times New Roman" w:cs="Times New Roman"/>
      <w:snapToGrid w:val="0"/>
      <w:color w:val="000000"/>
      <w:kern w:val="0"/>
      <w:szCs w:val="21"/>
      <w:lang w:eastAsia="de-DE" w:bidi="en-US"/>
    </w:rPr>
  </w:style>
  <w:style w:type="paragraph" w:customStyle="1" w:styleId="Equation">
    <w:name w:val="Equation"/>
    <w:uiPriority w:val="17"/>
    <w:qFormat/>
    <w:rsid w:val="0017484D"/>
    <w:pPr>
      <w:adjustRightInd w:val="0"/>
      <w:snapToGrid w:val="0"/>
      <w:spacing w:before="60" w:after="60"/>
      <w:ind w:left="709"/>
      <w:jc w:val="center"/>
    </w:pPr>
    <w:rPr>
      <w:rFonts w:ascii="Times New Roman" w:eastAsia="Times New Roman" w:hAnsi="Times New Roman" w:cs="Times New Roman"/>
      <w:snapToGrid w:val="0"/>
      <w:color w:val="000000"/>
      <w:kern w:val="0"/>
      <w:szCs w:val="21"/>
      <w:lang w:eastAsia="de-DE" w:bidi="en-US"/>
    </w:rPr>
  </w:style>
  <w:style w:type="paragraph" w:customStyle="1" w:styleId="Figure">
    <w:name w:val="Figure"/>
    <w:uiPriority w:val="16"/>
    <w:qFormat/>
    <w:rsid w:val="0017484D"/>
    <w:pPr>
      <w:adjustRightInd w:val="0"/>
      <w:snapToGrid w:val="0"/>
      <w:jc w:val="center"/>
    </w:pPr>
    <w:rPr>
      <w:rFonts w:ascii="Times New Roman" w:eastAsia="Times New Roman" w:hAnsi="Times New Roman" w:cs="Times New Roman"/>
      <w:snapToGrid w:val="0"/>
      <w:color w:val="000000"/>
      <w:kern w:val="0"/>
      <w:szCs w:val="21"/>
      <w:lang w:eastAsia="de-DE" w:bidi="en-US"/>
    </w:rPr>
  </w:style>
  <w:style w:type="paragraph" w:customStyle="1" w:styleId="Figurecaption">
    <w:name w:val="Figure caption"/>
    <w:uiPriority w:val="16"/>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Frontmatter">
    <w:name w:val="Front matter"/>
    <w:uiPriority w:val="8"/>
    <w:qFormat/>
    <w:rsid w:val="0017484D"/>
    <w:pPr>
      <w:spacing w:beforeLines="50" w:before="50" w:afterLines="50" w:after="50"/>
      <w:jc w:val="both"/>
    </w:pPr>
    <w:rPr>
      <w:rFonts w:ascii="Times New Roman" w:eastAsia="Times New Roman" w:hAnsi="Times New Roman" w:cs="Times New Roman"/>
      <w:b/>
      <w:snapToGrid w:val="0"/>
      <w:color w:val="000000"/>
      <w:kern w:val="0"/>
      <w:sz w:val="24"/>
      <w:lang w:eastAsia="de-DE" w:bidi="en-US"/>
    </w:rPr>
  </w:style>
  <w:style w:type="paragraph" w:customStyle="1" w:styleId="Historytime">
    <w:name w:val="History time"/>
    <w:next w:val="Articletype"/>
    <w:uiPriority w:val="7"/>
    <w:qFormat/>
    <w:rsid w:val="0017484D"/>
    <w:rPr>
      <w:rFonts w:ascii="Times New Roman" w:eastAsia="Times New Roman" w:hAnsi="Times New Roman" w:cs="Times New Roman"/>
      <w:color w:val="000000"/>
      <w:kern w:val="0"/>
      <w:szCs w:val="21"/>
      <w:lang w:eastAsia="de-DE" w:bidi="en-US"/>
    </w:rPr>
  </w:style>
  <w:style w:type="paragraph" w:customStyle="1" w:styleId="Keywords">
    <w:name w:val="Keywords"/>
    <w:next w:val="a"/>
    <w:link w:val="Keywords0"/>
    <w:uiPriority w:val="10"/>
    <w:qFormat/>
    <w:rsid w:val="0017484D"/>
    <w:pPr>
      <w:adjustRightInd w:val="0"/>
      <w:snapToGrid w:val="0"/>
      <w:jc w:val="both"/>
    </w:pPr>
    <w:rPr>
      <w:rFonts w:ascii="Times New Roman" w:eastAsia="Times New Roman" w:hAnsi="Times New Roman" w:cs="Times New Roman"/>
      <w:snapToGrid w:val="0"/>
      <w:color w:val="000000"/>
      <w:kern w:val="0"/>
      <w:szCs w:val="21"/>
      <w:lang w:eastAsia="de-DE" w:bidi="en-US"/>
    </w:rPr>
  </w:style>
  <w:style w:type="character" w:customStyle="1" w:styleId="Keywords0">
    <w:name w:val="Keywords 字符"/>
    <w:basedOn w:val="a0"/>
    <w:link w:val="Keywords"/>
    <w:uiPriority w:val="10"/>
    <w:rsid w:val="0017484D"/>
    <w:rPr>
      <w:rFonts w:ascii="Times New Roman" w:eastAsia="Times New Roman" w:hAnsi="Times New Roman" w:cs="Times New Roman"/>
      <w:snapToGrid w:val="0"/>
      <w:color w:val="000000"/>
      <w:kern w:val="0"/>
      <w:szCs w:val="21"/>
      <w:lang w:eastAsia="de-DE" w:bidi="en-US"/>
    </w:rPr>
  </w:style>
  <w:style w:type="paragraph" w:customStyle="1" w:styleId="Reference">
    <w:name w:val="Reference"/>
    <w:link w:val="Reference0"/>
    <w:uiPriority w:val="19"/>
    <w:qFormat/>
    <w:rsid w:val="0017484D"/>
    <w:pPr>
      <w:ind w:left="200" w:hangingChars="200" w:hanging="200"/>
      <w:jc w:val="both"/>
    </w:pPr>
    <w:rPr>
      <w:rFonts w:ascii="Times New Roman" w:eastAsia="Times New Roman" w:hAnsi="Times New Roman" w:cs="Times New Roman"/>
      <w:snapToGrid w:val="0"/>
      <w:color w:val="000000"/>
      <w:kern w:val="0"/>
      <w:sz w:val="18"/>
      <w:szCs w:val="21"/>
      <w:lang w:eastAsia="de-DE" w:bidi="en-US"/>
    </w:rPr>
  </w:style>
  <w:style w:type="character" w:customStyle="1" w:styleId="Reference0">
    <w:name w:val="Reference 字符"/>
    <w:basedOn w:val="Keywords0"/>
    <w:link w:val="Reference"/>
    <w:uiPriority w:val="19"/>
    <w:rsid w:val="0017484D"/>
    <w:rPr>
      <w:rFonts w:ascii="Times New Roman" w:eastAsia="Times New Roman" w:hAnsi="Times New Roman" w:cs="Times New Roman"/>
      <w:snapToGrid w:val="0"/>
      <w:color w:val="000000"/>
      <w:kern w:val="0"/>
      <w:sz w:val="18"/>
      <w:szCs w:val="21"/>
      <w:lang w:eastAsia="de-DE" w:bidi="en-US"/>
    </w:rPr>
  </w:style>
  <w:style w:type="paragraph" w:customStyle="1" w:styleId="Tablebody">
    <w:name w:val="Table body"/>
    <w:uiPriority w:val="13"/>
    <w:qFormat/>
    <w:rsid w:val="0017484D"/>
    <w:pPr>
      <w:jc w:val="both"/>
    </w:pPr>
    <w:rPr>
      <w:rFonts w:ascii="Times New Roman" w:eastAsia="Times New Roman" w:hAnsi="Times New Roman" w:cs="Times New Roman"/>
      <w:snapToGrid w:val="0"/>
      <w:color w:val="000000"/>
      <w:kern w:val="0"/>
      <w:szCs w:val="21"/>
      <w:lang w:eastAsia="de-DE" w:bidi="en-US"/>
    </w:rPr>
  </w:style>
  <w:style w:type="paragraph" w:customStyle="1" w:styleId="Tablecaption">
    <w:name w:val="Table caption"/>
    <w:uiPriority w:val="14"/>
    <w:qFormat/>
    <w:rsid w:val="0017484D"/>
    <w:pPr>
      <w:adjustRightInd w:val="0"/>
      <w:snapToGrid w:val="0"/>
      <w:spacing w:beforeLines="100" w:before="100" w:afterLines="100" w:after="100"/>
      <w:jc w:val="center"/>
    </w:pPr>
    <w:rPr>
      <w:rFonts w:ascii="Times New Roman" w:eastAsia="Times New Roman" w:hAnsi="Times New Roman" w:cs="Times New Roman"/>
      <w:b/>
      <w:noProof/>
      <w:color w:val="000000"/>
      <w:kern w:val="0"/>
      <w:szCs w:val="24"/>
      <w:lang w:bidi="en-US"/>
    </w:rPr>
  </w:style>
  <w:style w:type="paragraph" w:customStyle="1" w:styleId="Tablefooter">
    <w:name w:val="Table footer"/>
    <w:next w:val="a"/>
    <w:uiPriority w:val="15"/>
    <w:qFormat/>
    <w:rsid w:val="0017484D"/>
    <w:pPr>
      <w:jc w:val="both"/>
    </w:pPr>
    <w:rPr>
      <w:rFonts w:ascii="Times New Roman" w:eastAsia="Times New Roman" w:hAnsi="Times New Roman" w:cs="Times New Roman"/>
      <w:color w:val="000000"/>
      <w:kern w:val="0"/>
      <w:szCs w:val="21"/>
      <w:lang w:eastAsia="de-DE" w:bidi="en-US"/>
    </w:rPr>
  </w:style>
  <w:style w:type="paragraph" w:customStyle="1" w:styleId="Text">
    <w:name w:val="Text"/>
    <w:link w:val="Text0"/>
    <w:uiPriority w:val="12"/>
    <w:qFormat/>
    <w:rsid w:val="0017484D"/>
    <w:pPr>
      <w:ind w:firstLineChars="200" w:firstLine="200"/>
      <w:jc w:val="both"/>
    </w:pPr>
    <w:rPr>
      <w:rFonts w:ascii="Times New Roman" w:eastAsia="Times New Roman" w:hAnsi="Times New Roman" w:cs="Times New Roman"/>
      <w:snapToGrid w:val="0"/>
      <w:color w:val="000000"/>
      <w:kern w:val="0"/>
      <w:szCs w:val="28"/>
      <w:lang w:eastAsia="de-DE" w:bidi="en-US"/>
    </w:rPr>
  </w:style>
  <w:style w:type="character" w:customStyle="1" w:styleId="Text0">
    <w:name w:val="Text 字符"/>
    <w:basedOn w:val="a0"/>
    <w:link w:val="Text"/>
    <w:uiPriority w:val="12"/>
    <w:rsid w:val="0017484D"/>
    <w:rPr>
      <w:rFonts w:ascii="Times New Roman" w:eastAsia="Times New Roman" w:hAnsi="Times New Roman" w:cs="Times New Roman"/>
      <w:snapToGrid w:val="0"/>
      <w:color w:val="000000"/>
      <w:kern w:val="0"/>
      <w:szCs w:val="28"/>
      <w:lang w:eastAsia="de-DE" w:bidi="en-US"/>
    </w:rPr>
  </w:style>
  <w:style w:type="paragraph" w:styleId="a3">
    <w:name w:val="annotation text"/>
    <w:aliases w:val="Comment Text"/>
    <w:basedOn w:val="a"/>
    <w:link w:val="a4"/>
    <w:uiPriority w:val="20"/>
    <w:qFormat/>
    <w:rsid w:val="0017484D"/>
    <w:pPr>
      <w:adjustRightInd w:val="0"/>
      <w:snapToGrid w:val="0"/>
      <w:spacing w:before="0" w:after="0"/>
    </w:pPr>
    <w:rPr>
      <w:rFonts w:eastAsia="Times New Roman"/>
      <w:sz w:val="21"/>
      <w:szCs w:val="21"/>
      <w:lang w:val="es-ES" w:eastAsia="es-ES"/>
    </w:rPr>
  </w:style>
  <w:style w:type="character" w:customStyle="1" w:styleId="a4">
    <w:name w:val="批注文字 字符"/>
    <w:aliases w:val="Comment Text 字符"/>
    <w:basedOn w:val="a0"/>
    <w:link w:val="a3"/>
    <w:uiPriority w:val="20"/>
    <w:qFormat/>
    <w:rsid w:val="0017484D"/>
    <w:rPr>
      <w:rFonts w:ascii="Times New Roman" w:eastAsia="Times New Roman" w:hAnsi="Times New Roman" w:cs="Times New Roman"/>
      <w:kern w:val="0"/>
      <w:szCs w:val="21"/>
      <w:lang w:val="es-ES" w:eastAsia="es-ES"/>
    </w:rPr>
  </w:style>
  <w:style w:type="paragraph" w:styleId="a5">
    <w:name w:val="footer"/>
    <w:basedOn w:val="a"/>
    <w:link w:val="a6"/>
    <w:uiPriority w:val="99"/>
    <w:semiHidden/>
    <w:rsid w:val="00003143"/>
    <w:pPr>
      <w:tabs>
        <w:tab w:val="center" w:pos="4844"/>
        <w:tab w:val="right" w:pos="9689"/>
      </w:tabs>
      <w:spacing w:after="0"/>
    </w:pPr>
  </w:style>
  <w:style w:type="character" w:customStyle="1" w:styleId="a6">
    <w:name w:val="页脚 字符"/>
    <w:basedOn w:val="a0"/>
    <w:link w:val="a5"/>
    <w:uiPriority w:val="99"/>
    <w:semiHidden/>
    <w:rsid w:val="0017484D"/>
    <w:rPr>
      <w:rFonts w:ascii="Times New Roman" w:eastAsia="Calibri" w:hAnsi="Times New Roman" w:cs="Times New Roman"/>
      <w:kern w:val="0"/>
      <w:sz w:val="24"/>
      <w:lang w:eastAsia="en-US"/>
    </w:rPr>
  </w:style>
  <w:style w:type="paragraph" w:styleId="a7">
    <w:name w:val="header"/>
    <w:basedOn w:val="a"/>
    <w:link w:val="a8"/>
    <w:uiPriority w:val="99"/>
    <w:semiHidden/>
    <w:rsid w:val="00003143"/>
    <w:pPr>
      <w:tabs>
        <w:tab w:val="center" w:pos="4844"/>
        <w:tab w:val="right" w:pos="9689"/>
      </w:tabs>
    </w:pPr>
    <w:rPr>
      <w:b/>
    </w:rPr>
  </w:style>
  <w:style w:type="character" w:customStyle="1" w:styleId="a8">
    <w:name w:val="页眉 字符"/>
    <w:basedOn w:val="a0"/>
    <w:link w:val="a7"/>
    <w:uiPriority w:val="99"/>
    <w:semiHidden/>
    <w:rsid w:val="0017484D"/>
    <w:rPr>
      <w:rFonts w:ascii="Times New Roman" w:eastAsia="Calibri" w:hAnsi="Times New Roman" w:cs="Times New Roman"/>
      <w:b/>
      <w:kern w:val="0"/>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header" Target="header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12</Pages>
  <Words>1074</Words>
  <Characters>6126</Characters>
  <Application>Microsoft Office Word</Application>
  <DocSecurity>0</DocSecurity>
  <Lines>51</Lines>
  <Paragraphs>14</Paragraphs>
  <ScaleCrop>false</ScaleCrop>
  <Company/>
  <LinksUpToDate>false</LinksUpToDate>
  <CharactersWithSpaces>7186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cheryl</dc:creator>
  <cp:keywords/>
  <dc:description/>
  <cp:lastModifiedBy>cheryl</cp:lastModifiedBy>
  <cp:revision>1</cp:revision>
  <dcterms:created xsi:type="dcterms:W3CDTF">2026-03-02T05:22:00Z</dcterms:created>
  <dcterms:modified xsi:type="dcterms:W3CDTF">2026-03-02T06:03:00Z</dcterms:modified>
</cp:coreProperties>
</file>